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40"/>
        <w:jc w:val="right"/>
      </w:pPr>
      <w:r>
        <w:drawing>
          <wp:inline xmlns:a="http://schemas.openxmlformats.org/drawingml/2006/main" xmlns:pic="http://schemas.openxmlformats.org/drawingml/2006/picture">
            <wp:extent cx="1417320" cy="1417320"/>
            <wp:docPr id="1" name="Picture 1" descr="Logotipo institucional da Dataprev" title="Dataprev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prev-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17320" cy="1417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Calibri" w:hAnsi="Calibri"/>
          <w:b/>
          <w:color w:val="2E74B5"/>
          <w:sz w:val="22"/>
        </w:rPr>
        <w:t>DOCUMENTO DE COBERTURA DE TESTES</w:t>
      </w:r>
    </w:p>
    <w:p>
      <w:pPr>
        <w:spacing w:after="160"/>
      </w:pPr>
      <w:r>
        <w:rPr>
          <w:rFonts w:ascii="Calibri" w:hAnsi="Calibri"/>
          <w:b/>
          <w:color w:val="163A5F"/>
          <w:sz w:val="62"/>
        </w:rPr>
        <w:t>JobsIA</w:t>
      </w:r>
    </w:p>
    <w:p>
      <w:pPr>
        <w:spacing w:after="520"/>
      </w:pPr>
      <w:r>
        <w:rPr>
          <w:rFonts w:ascii="Calibri" w:hAnsi="Calibri"/>
          <w:b w:val="0"/>
          <w:color w:val="000000"/>
          <w:sz w:val="22"/>
        </w:rPr>
        <w:t>Cobertura após execução do primeiro ciclo de melhorias e automação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FF4DF"/>
            <w:tcBorders>
              <w:top w:val="single" w:sz="4" w:color="A35A00"/>
              <w:left w:val="single" w:sz="4" w:color="A35A00"/>
              <w:bottom w:val="single" w:sz="4" w:color="A35A00"/>
              <w:right w:val="single" w:sz="4" w:color="A35A00"/>
              <w:insideH w:val="single" w:sz="4" w:color="A35A00"/>
              <w:insideV w:val="single" w:sz="4" w:color="A35A0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color w:val="163A5F"/>
                <w:sz w:val="21"/>
              </w:rPr>
              <w:t xml:space="preserve">SITUAÇÃO ATUAL  </w:t>
            </w:r>
            <w:r>
              <w:rPr>
                <w:rFonts w:ascii="Calibri" w:hAnsi="Calibri"/>
                <w:b w:val="0"/>
                <w:color w:val="000000"/>
                <w:sz w:val="21"/>
              </w:rPr>
              <w:t>Gate ampliado e aprovado, cobertura global mensurada e pipeline preparado. A principal lacuna remanescente é o frontend: componentes, páginas e jornadas E2E continuam sem testes, reduzindo a cobertura global para 20,14% de linhas.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rFonts w:ascii="Calibri" w:hAnsi="Calibri"/>
          <w:b w:val="0"/>
          <w:color w:val="000000"/>
          <w:sz w:val="22"/>
        </w:rPr>
        <w:t>Versão: 2.0</w:t>
      </w:r>
    </w:p>
    <w:p>
      <w:pPr>
        <w:spacing w:after="60"/>
      </w:pPr>
      <w:r>
        <w:rPr>
          <w:rFonts w:ascii="Calibri" w:hAnsi="Calibri"/>
          <w:b/>
          <w:color w:val="163A5F"/>
          <w:sz w:val="21"/>
        </w:rPr>
        <w:t xml:space="preserve">Data de referência: </w:t>
      </w:r>
      <w:r>
        <w:rPr>
          <w:rFonts w:ascii="Calibri" w:hAnsi="Calibri"/>
          <w:color w:val="000000"/>
          <w:sz w:val="21"/>
        </w:rPr>
        <w:t>06 de agosto de 2026</w:t>
      </w:r>
    </w:p>
    <w:p>
      <w:pPr>
        <w:spacing w:after="60"/>
      </w:pPr>
      <w:r>
        <w:rPr>
          <w:rFonts w:ascii="Calibri" w:hAnsi="Calibri"/>
          <w:b/>
          <w:color w:val="163A5F"/>
          <w:sz w:val="21"/>
        </w:rPr>
        <w:t xml:space="preserve">Sistema: </w:t>
      </w:r>
      <w:r>
        <w:rPr>
          <w:rFonts w:ascii="Calibri" w:hAnsi="Calibri"/>
          <w:color w:val="000000"/>
          <w:sz w:val="21"/>
        </w:rPr>
        <w:t>JobsIA - Geração segura de checklists e validação de normas</w:t>
      </w:r>
    </w:p>
    <w:p>
      <w:pPr>
        <w:spacing w:after="60"/>
      </w:pPr>
      <w:r>
        <w:rPr>
          <w:rFonts w:ascii="Calibri" w:hAnsi="Calibri"/>
          <w:b/>
          <w:color w:val="163A5F"/>
          <w:sz w:val="21"/>
        </w:rPr>
        <w:t xml:space="preserve">Base analisada: </w:t>
      </w:r>
      <w:r>
        <w:rPr>
          <w:rFonts w:ascii="Calibri" w:hAnsi="Calibri"/>
          <w:color w:val="000000"/>
          <w:sz w:val="21"/>
        </w:rPr>
        <w:t>Repositório local no estado da análise</w:t>
      </w:r>
    </w:p>
    <w:p>
      <w:pPr>
        <w:spacing w:after="60"/>
      </w:pPr>
      <w:r>
        <w:rPr>
          <w:rFonts w:ascii="Calibri" w:hAnsi="Calibri"/>
          <w:b/>
          <w:color w:val="163A5F"/>
          <w:sz w:val="21"/>
        </w:rPr>
        <w:t xml:space="preserve">Classificação: </w:t>
      </w:r>
      <w:r>
        <w:rPr>
          <w:rFonts w:ascii="Calibri" w:hAnsi="Calibri"/>
          <w:color w:val="000000"/>
          <w:sz w:val="21"/>
        </w:rPr>
        <w:t>Uso interno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Resumo executivo</w:t>
      </w:r>
    </w:p>
    <w:p>
      <w:pPr>
        <w:spacing w:before="0" w:after="120" w:line="264" w:lineRule="auto"/>
      </w:pPr>
      <w:r>
        <w:rPr>
          <w:rFonts w:ascii="Calibri" w:hAnsi="Calibri"/>
          <w:b w:val="0"/>
          <w:color w:val="000000"/>
          <w:sz w:val="22"/>
        </w:rPr>
        <w:t>Esta revisão consolida a cobertura do JobsIA após a implementação do primeiro ciclo do plano de testes. Além de atualizar as evidências, o documento registra as correções funcionais, o novo gate automatizado, a medição global por c8, o pipeline com PostgreSQL efêmero e os riscos ainda pendentes.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500"/>
        <w:gridCol w:w="1900"/>
        <w:gridCol w:w="4960"/>
      </w:tblGrid>
      <w:tr>
        <w:trPr>
          <w:tblHeader w:val="true"/>
        </w:trPr>
        <w:tc>
          <w:tcPr>
            <w:tcW w:type="dxa" w:w="2500"/>
            <w:vAlign w:val="center"/>
            <w:shd w:fill="F2F4F7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163A5F"/>
                <w:sz w:val="18"/>
              </w:rPr>
              <w:t>Indicador</w:t>
            </w:r>
          </w:p>
        </w:tc>
        <w:tc>
          <w:tcPr>
            <w:tcW w:type="dxa" w:w="1900"/>
            <w:vAlign w:val="center"/>
            <w:shd w:fill="F2F4F7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163A5F"/>
                <w:sz w:val="18"/>
              </w:rPr>
              <w:t>Resultado</w:t>
            </w:r>
          </w:p>
        </w:tc>
        <w:tc>
          <w:tcPr>
            <w:tcW w:type="dxa" w:w="4960"/>
            <w:vAlign w:val="center"/>
            <w:shd w:fill="F2F4F7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163A5F"/>
                <w:sz w:val="18"/>
              </w:rPr>
              <w:t>Leitura</w:t>
            </w:r>
          </w:p>
        </w:tc>
      </w:tr>
      <w:tr>
        <w:trPr/>
        <w:tc>
          <w:tcPr>
            <w:tcW w:type="dxa" w:w="250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Arquivos de teste</w:t>
            </w:r>
          </w:p>
        </w:tc>
        <w:tc>
          <w:tcPr>
            <w:tcW w:type="dxa" w:w="190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18</w:t>
            </w:r>
          </w:p>
        </w:tc>
        <w:tc>
          <w:tcPr>
            <w:tcW w:type="dxa" w:w="496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16 no backend e 2 utilitários no frontend; o teste de schema é um script operacional.</w:t>
            </w:r>
          </w:p>
        </w:tc>
      </w:tr>
      <w:tr>
        <w:trPr/>
        <w:tc>
          <w:tcPr>
            <w:tcW w:type="dxa" w:w="250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Casos declarados</w:t>
            </w:r>
          </w:p>
        </w:tc>
        <w:tc>
          <w:tcPr>
            <w:tcW w:type="dxa" w:w="190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125</w:t>
            </w:r>
          </w:p>
        </w:tc>
        <w:tc>
          <w:tcPr>
            <w:tcW w:type="dxa" w:w="496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Inclui testes e subtestes unitários e de integração.</w:t>
            </w:r>
          </w:p>
        </w:tc>
      </w:tr>
      <w:tr>
        <w:trPr/>
        <w:tc>
          <w:tcPr>
            <w:tcW w:type="dxa" w:w="250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Gate padrão (`npm test`)</w:t>
            </w:r>
          </w:p>
        </w:tc>
        <w:tc>
          <w:tcPr>
            <w:tcW w:type="dxa" w:w="190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45 aprovados / 2 ignorados</w:t>
            </w:r>
          </w:p>
        </w:tc>
        <w:tc>
          <w:tcPr>
            <w:tcW w:type="dxa" w:w="496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47 testes executados, nenhuma falha; os 2 ignorados exigem PostgreSQL.</w:t>
            </w:r>
          </w:p>
        </w:tc>
      </w:tr>
      <w:tr>
        <w:trPr/>
        <w:tc>
          <w:tcPr>
            <w:tcW w:type="dxa" w:w="250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Cobertura global</w:t>
            </w:r>
          </w:p>
        </w:tc>
        <w:tc>
          <w:tcPr>
            <w:tcW w:type="dxa" w:w="190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20,14% linhas</w:t>
            </w:r>
          </w:p>
        </w:tc>
        <w:tc>
          <w:tcPr>
            <w:tcW w:type="dxa" w:w="496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c8 --all inclui backend, frontend TS/TSX e arquivos não carregados, com baseline bloqueante.</w:t>
            </w:r>
          </w:p>
        </w:tc>
      </w:tr>
      <w:tr>
        <w:trPr/>
        <w:tc>
          <w:tcPr>
            <w:tcW w:type="dxa" w:w="250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Branches / funções</w:t>
            </w:r>
          </w:p>
        </w:tc>
        <w:tc>
          <w:tcPr>
            <w:tcW w:type="dxa" w:w="190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59,09% / 50,81%</w:t>
            </w:r>
          </w:p>
        </w:tc>
        <w:tc>
          <w:tcPr>
            <w:tcW w:type="dxa" w:w="496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Métrica global; statements também ficaram em 20,14%.</w:t>
            </w:r>
          </w:p>
        </w:tc>
      </w:tr>
      <w:tr>
        <w:trPr/>
        <w:tc>
          <w:tcPr>
            <w:tcW w:type="dxa" w:w="250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TypeScript e builds</w:t>
            </w:r>
          </w:p>
        </w:tc>
        <w:tc>
          <w:tcPr>
            <w:tcW w:type="dxa" w:w="190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Aprovados</w:t>
            </w:r>
          </w:p>
        </w:tc>
        <w:tc>
          <w:tcPr>
            <w:tcW w:type="dxa" w:w="496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Lint, build web e build server concluídos; persiste aviso de bundle acima de 500 kB.</w:t>
            </w:r>
          </w:p>
        </w:tc>
      </w:tr>
      <w:tr>
        <w:trPr/>
        <w:tc>
          <w:tcPr>
            <w:tcW w:type="dxa" w:w="250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Suíte integrada</w:t>
            </w:r>
          </w:p>
        </w:tc>
        <w:tc>
          <w:tcPr>
            <w:tcW w:type="dxa" w:w="190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Preparada no CI</w:t>
            </w:r>
          </w:p>
        </w:tc>
        <w:tc>
          <w:tcPr>
            <w:tcW w:type="dxa" w:w="496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Workflow usa PostgreSQL efêmero; não executada localmente porque Docker/DB não estavam disponíveis.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EAF2F8"/>
            <w:tcBorders>
              <w:top w:val="single" w:sz="4" w:color="163A5F"/>
              <w:left w:val="single" w:sz="4" w:color="163A5F"/>
              <w:bottom w:val="single" w:sz="4" w:color="163A5F"/>
              <w:right w:val="single" w:sz="4" w:color="163A5F"/>
              <w:insideH w:val="single" w:sz="4" w:color="163A5F"/>
              <w:insideV w:val="single" w:sz="4" w:color="163A5F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color w:val="163A5F"/>
                <w:sz w:val="21"/>
              </w:rPr>
              <w:t xml:space="preserve">CONCLUSÃO  </w:t>
            </w:r>
            <w:r>
              <w:rPr>
                <w:rFonts w:ascii="Calibri" w:hAnsi="Calibri"/>
                <w:b w:val="0"/>
                <w:color w:val="000000"/>
                <w:sz w:val="21"/>
              </w:rPr>
              <w:t>O primeiro ciclo eliminou a medição enganosa do recorte anterior, ampliou o gate de 27 para 47 testes, cobriu rotas críticas e corrigiu transações do dicionário. O sistema continua com risco relevante no frontend e nos caminhos positivos dependentes de banco, agora visíveis e protegidos por baseline e pipeline.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/>
          <w:b/>
          <w:color w:val="2E74B5"/>
          <w:sz w:val="26"/>
        </w:rPr>
        <w:t>Ajustes implementados nesta revisão</w:t>
      </w:r>
    </w:p>
    <w:p>
      <w:pPr>
        <w:pStyle w:val="ListBullet"/>
        <w:spacing w:after="160"/>
      </w:pPr>
      <w:r>
        <w:rPr>
          <w:rFonts w:ascii="Calibri" w:hAnsi="Calibri"/>
          <w:b w:val="0"/>
          <w:color w:val="000000"/>
          <w:sz w:val="22"/>
        </w:rPr>
        <w:t>Novo arquivo com 11 testes rápidos para Application v2, catálogo e dicionário, incluindo autenticação, validação, idempotência e encerramento transacional.</w:t>
      </w:r>
    </w:p>
    <w:p>
      <w:pPr>
        <w:pStyle w:val="ListBullet"/>
        <w:spacing w:after="160"/>
      </w:pPr>
      <w:r>
        <w:rPr>
          <w:rFonts w:ascii="Calibri" w:hAnsi="Calibri"/>
          <w:b w:val="0"/>
          <w:color w:val="000000"/>
          <w:sz w:val="22"/>
        </w:rPr>
        <w:t>Correção das rotas de dicionário para validar campos obrigatórios e executar ROLLBACK antes de liberar conexões em retornos antecipados de publicação/rollback.</w:t>
      </w:r>
    </w:p>
    <w:p>
      <w:pPr>
        <w:pStyle w:val="ListBullet"/>
        <w:spacing w:after="160"/>
      </w:pPr>
      <w:r>
        <w:rPr>
          <w:rFonts w:ascii="Calibri" w:hAnsi="Calibri"/>
          <w:b w:val="0"/>
          <w:color w:val="000000"/>
          <w:sz w:val="22"/>
        </w:rPr>
        <w:t>Gate padrão unificado com 47 testes e inclusão dos testes unitários antes esquecidos.</w:t>
      </w:r>
    </w:p>
    <w:p>
      <w:pPr>
        <w:pStyle w:val="ListBullet"/>
        <w:spacing w:after="160"/>
      </w:pPr>
      <w:r>
        <w:rPr>
          <w:rFonts w:ascii="Calibri" w:hAnsi="Calibri"/>
          <w:b w:val="0"/>
          <w:color w:val="000000"/>
          <w:sz w:val="22"/>
        </w:rPr>
        <w:t>Cobertura migrada para c8 --all, com TypeScript/TSX completo e limites mínimos bloqueantes: 19% linhas/statements, 55% branches e 45% funções.</w:t>
      </w:r>
    </w:p>
    <w:p>
      <w:pPr>
        <w:pStyle w:val="ListBullet"/>
        <w:spacing w:after="160"/>
      </w:pPr>
      <w:r>
        <w:rPr>
          <w:rFonts w:ascii="Calibri" w:hAnsi="Calibri"/>
          <w:b w:val="0"/>
          <w:color w:val="000000"/>
          <w:sz w:val="22"/>
        </w:rPr>
        <w:t>Workflow de CI com PostgreSQL 16 efêmero, schema protegido, integração, builds, cobertura e auditoria de dependências críticas.</w:t>
      </w:r>
    </w:p>
    <w:p>
      <w:pPr>
        <w:pStyle w:val="ListBullet"/>
        <w:spacing w:after="160"/>
      </w:pPr>
      <w:r>
        <w:rPr>
          <w:rFonts w:ascii="Calibri" w:hAnsi="Calibri"/>
          <w:b w:val="0"/>
          <w:color w:val="000000"/>
          <w:sz w:val="22"/>
        </w:rPr>
        <w:t>Quatro testes adicionais para o construtor de comandos do frontend e redução de 13 vulnerabilidades (1 crítica) para 3 riscos residuais sem atualização forçada incompatível.</w:t>
      </w:r>
    </w:p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Critério de avaliação</w:t>
      </w:r>
    </w:p>
    <w:p>
      <w:pPr>
        <w:pStyle w:val="ListBullet"/>
        <w:spacing w:after="160" w:line="280" w:lineRule="auto"/>
      </w:pPr>
      <w:r>
        <w:rPr>
          <w:rFonts w:ascii="Calibri" w:hAnsi="Calibri"/>
          <w:color w:val="000000"/>
          <w:sz w:val="22"/>
        </w:rPr>
        <w:t>Forte: há testes positivos, negativos e de autorização/isolamento, preferencialmente executados no gate padrão ou em suíte de integração bem definida.</w:t>
      </w:r>
    </w:p>
    <w:p>
      <w:pPr>
        <w:pStyle w:val="ListBullet"/>
        <w:spacing w:after="160" w:line="280" w:lineRule="auto"/>
      </w:pPr>
      <w:r>
        <w:rPr>
          <w:rFonts w:ascii="Calibri" w:hAnsi="Calibri"/>
          <w:color w:val="000000"/>
          <w:sz w:val="22"/>
        </w:rPr>
        <w:t>Moderada: há testes relevantes, mas faltam fluxos, bordas, execução recorrente ou evidência de integração.</w:t>
      </w:r>
    </w:p>
    <w:p>
      <w:pPr>
        <w:pStyle w:val="ListBullet"/>
        <w:spacing w:after="160" w:line="280" w:lineRule="auto"/>
      </w:pPr>
      <w:r>
        <w:rPr>
          <w:rFonts w:ascii="Calibri" w:hAnsi="Calibri"/>
          <w:color w:val="000000"/>
          <w:sz w:val="22"/>
        </w:rPr>
        <w:t>Fraca/ausente: não foram encontrados testes diretos ou a validação depende apenas de compilação/build.</w:t>
      </w:r>
    </w:p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Escopo e método</w:t>
      </w:r>
    </w:p>
    <w:p>
      <w:pPr>
        <w:spacing w:before="0" w:after="120" w:line="264" w:lineRule="auto"/>
      </w:pPr>
      <w:r>
        <w:rPr>
          <w:rFonts w:ascii="Calibri" w:hAnsi="Calibri"/>
          <w:i w:val="0"/>
          <w:color w:val="000000"/>
          <w:sz w:val="22"/>
        </w:rPr>
        <w:t>A análise considerou o frontend React, a API Express, serviços de domínio, schemas, migrations PostgreSQL, geração de PDF, autenticação/RBAC, integração com IA e os scripts definidos em `package.json`.</w:t>
      </w:r>
    </w:p>
    <w:p>
      <w:pPr>
        <w:pStyle w:val="ListNumber"/>
        <w:spacing w:after="160" w:line="280" w:lineRule="auto"/>
      </w:pPr>
      <w:r>
        <w:rPr>
          <w:rFonts w:ascii="Calibri" w:hAnsi="Calibri"/>
          <w:color w:val="000000"/>
          <w:sz w:val="22"/>
        </w:rPr>
        <w:t>Inventário estático de módulos, rotas e arquivos de teste.</w:t>
      </w:r>
    </w:p>
    <w:p>
      <w:pPr>
        <w:pStyle w:val="ListNumber"/>
        <w:spacing w:after="160" w:line="280" w:lineRule="auto"/>
      </w:pPr>
      <w:r>
        <w:rPr>
          <w:rFonts w:ascii="Calibri" w:hAnsi="Calibri"/>
          <w:color w:val="000000"/>
          <w:sz w:val="22"/>
        </w:rPr>
        <w:t>Leitura dos cenários e das dependências de infraestrutura dos testes.</w:t>
      </w:r>
    </w:p>
    <w:p>
      <w:pPr>
        <w:pStyle w:val="ListNumber"/>
        <w:spacing w:after="160" w:line="280" w:lineRule="auto"/>
      </w:pPr>
      <w:r>
        <w:rPr>
          <w:rFonts w:ascii="Calibri" w:hAnsi="Calibri"/>
          <w:color w:val="000000"/>
          <w:sz w:val="22"/>
        </w:rPr>
        <w:t>Execução das verificações não destrutivas disponíveis no ambiente.</w:t>
      </w:r>
    </w:p>
    <w:p>
      <w:pPr>
        <w:pStyle w:val="ListNumber"/>
        <w:spacing w:after="160" w:line="280" w:lineRule="auto"/>
      </w:pPr>
      <w:r>
        <w:rPr>
          <w:rFonts w:ascii="Calibri" w:hAnsi="Calibri"/>
          <w:color w:val="000000"/>
          <w:sz w:val="22"/>
        </w:rPr>
        <w:t>Classificação qualitativa por capacidade de negócio e risco técnico.</w:t>
      </w:r>
    </w:p>
    <w:p>
      <w:pPr>
        <w:spacing w:before="80" w:after="80"/>
      </w:pPr>
      <w:r>
        <w:rPr>
          <w:rFonts w:ascii="Calibri" w:hAnsi="Calibri"/>
          <w:b w:val="0"/>
          <w:color w:val="000000"/>
          <w:sz w:val="22"/>
        </w:rPr>
        <w:t>Data da execução: 06/08/2026. A suíte local não utilizou banco de aplicação. Os testes de integração e schema permanecem condicionados ao PostgreSQL efêmero configurado no pipeline.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Contexto do sistema</w:t>
      </w:r>
    </w:p>
    <w:p>
      <w:pPr>
        <w:spacing w:before="0" w:after="120" w:line="264" w:lineRule="auto"/>
      </w:pPr>
      <w:r>
        <w:rPr>
          <w:rFonts w:ascii="Calibri" w:hAnsi="Calibri"/>
          <w:i w:val="0"/>
          <w:color w:val="000000"/>
          <w:sz w:val="22"/>
        </w:rPr>
        <w:t>O JobsIA é uma aplicação corporativa para criação e validação de checklists de jobs, com validação determinística de regras normativas, trilha de auditoria, geração de PDF e apoio conversacional por inteligência artificial.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00"/>
        <w:gridCol w:w="3200"/>
        <w:gridCol w:w="4660"/>
      </w:tblGrid>
      <w:tr>
        <w:trPr>
          <w:tblHeader w:val="true"/>
        </w:trPr>
        <w:tc>
          <w:tcPr>
            <w:tcW w:type="dxa" w:w="1500"/>
            <w:vAlign w:val="center"/>
            <w:shd w:fill="F2F4F7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63A5F"/>
                <w:sz w:val="18"/>
              </w:rPr>
              <w:t>Camada</w:t>
            </w:r>
          </w:p>
        </w:tc>
        <w:tc>
          <w:tcPr>
            <w:tcW w:type="dxa" w:w="3200"/>
            <w:vAlign w:val="center"/>
            <w:shd w:fill="F2F4F7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63A5F"/>
                <w:sz w:val="18"/>
              </w:rPr>
              <w:t>Tecnologia / responsabilidade</w:t>
            </w:r>
          </w:p>
        </w:tc>
        <w:tc>
          <w:tcPr>
            <w:tcW w:type="dxa" w:w="4660"/>
            <w:vAlign w:val="center"/>
            <w:shd w:fill="F2F4F7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63A5F"/>
                <w:sz w:val="18"/>
              </w:rPr>
              <w:t>Implicação para testes</w:t>
            </w:r>
          </w:p>
        </w:tc>
      </w:tr>
      <w:tr>
        <w:trPr/>
        <w:tc>
          <w:tcPr>
            <w:tcW w:type="dxa" w:w="150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Frontend</w:t>
            </w:r>
          </w:p>
        </w:tc>
        <w:tc>
          <w:tcPr>
            <w:tcW w:type="dxa" w:w="320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React 19, TypeScript, Vite</w:t>
            </w:r>
          </w:p>
        </w:tc>
        <w:tc>
          <w:tcPr>
            <w:tcW w:type="dxa" w:w="466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Componentes, navegação, formulários, estados de erro e jornadas críticas precisam de testes próprios.</w:t>
            </w:r>
          </w:p>
        </w:tc>
      </w:tr>
      <w:tr>
        <w:trPr/>
        <w:tc>
          <w:tcPr>
            <w:tcW w:type="dxa" w:w="150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API</w:t>
            </w:r>
          </w:p>
        </w:tc>
        <w:tc>
          <w:tcPr>
            <w:tcW w:type="dxa" w:w="320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Express.js, TypeScript, 52 handlers de rota</w:t>
            </w:r>
          </w:p>
        </w:tc>
        <w:tc>
          <w:tcPr>
            <w:tcW w:type="dxa" w:w="466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Exige testes de contrato HTTP, autenticação, autorização, validação e isolamento de dados.</w:t>
            </w:r>
          </w:p>
        </w:tc>
      </w:tr>
      <w:tr>
        <w:trPr/>
        <w:tc>
          <w:tcPr>
            <w:tcW w:type="dxa" w:w="150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Persistência</w:t>
            </w:r>
          </w:p>
        </w:tc>
        <w:tc>
          <w:tcPr>
            <w:tcW w:type="dxa" w:w="320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PostgreSQL e migrations incrementais</w:t>
            </w:r>
          </w:p>
        </w:tc>
        <w:tc>
          <w:tcPr>
            <w:tcW w:type="dxa" w:w="466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Requer banco descartável e testes transacionais de integração/esquema.</w:t>
            </w:r>
          </w:p>
        </w:tc>
      </w:tr>
      <w:tr>
        <w:trPr/>
        <w:tc>
          <w:tcPr>
            <w:tcW w:type="dxa" w:w="150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Domínio</w:t>
            </w:r>
          </w:p>
        </w:tc>
        <w:tc>
          <w:tcPr>
            <w:tcW w:type="dxa" w:w="320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Motor N/PD/004/02 e checklist v1/v2</w:t>
            </w:r>
          </w:p>
        </w:tc>
        <w:tc>
          <w:tcPr>
            <w:tcW w:type="dxa" w:w="466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Regras devem ser exercitadas com casos válidos, inválidos, limites e compatibilidade.</w:t>
            </w:r>
          </w:p>
        </w:tc>
      </w:tr>
      <w:tr>
        <w:trPr/>
        <w:tc>
          <w:tcPr>
            <w:tcW w:type="dxa" w:w="150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Relatórios</w:t>
            </w:r>
          </w:p>
        </w:tc>
        <w:tc>
          <w:tcPr>
            <w:tcW w:type="dxa" w:w="320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Geração dinâmica de PDF</w:t>
            </w:r>
          </w:p>
        </w:tc>
        <w:tc>
          <w:tcPr>
            <w:tcW w:type="dxa" w:w="466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Requer testes estruturais, de overflow, branding, autorização e inspeção visual quando aplicável.</w:t>
            </w:r>
          </w:p>
        </w:tc>
      </w:tr>
      <w:tr>
        <w:trPr/>
        <w:tc>
          <w:tcPr>
            <w:tcW w:type="dxa" w:w="150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IA</w:t>
            </w:r>
          </w:p>
        </w:tc>
        <w:tc>
          <w:tcPr>
            <w:tcW w:type="dxa" w:w="320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Gateway LIA/Dataprev e contexto dinâmico</w:t>
            </w:r>
          </w:p>
        </w:tc>
        <w:tc>
          <w:tcPr>
            <w:tcW w:type="dxa" w:w="466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Deve usar mocks/contratos para erros, timeout, modelos, preferências e persistência do chat.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Evidências executadas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300"/>
        <w:gridCol w:w="1500"/>
        <w:gridCol w:w="1500"/>
        <w:gridCol w:w="4060"/>
      </w:tblGrid>
      <w:tr>
        <w:trPr>
          <w:tblHeader w:val="true"/>
        </w:trPr>
        <w:tc>
          <w:tcPr>
            <w:tcW w:type="dxa" w:w="2300"/>
            <w:vAlign w:val="center"/>
            <w:shd w:fill="F2F4F7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163A5F"/>
                <w:sz w:val="18"/>
              </w:rPr>
              <w:t>Comando</w:t>
            </w:r>
          </w:p>
        </w:tc>
        <w:tc>
          <w:tcPr>
            <w:tcW w:type="dxa" w:w="1500"/>
            <w:vAlign w:val="center"/>
            <w:shd w:fill="F2F4F7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163A5F"/>
                <w:sz w:val="18"/>
              </w:rPr>
              <w:t>Situação</w:t>
            </w:r>
          </w:p>
        </w:tc>
        <w:tc>
          <w:tcPr>
            <w:tcW w:type="dxa" w:w="1500"/>
            <w:vAlign w:val="center"/>
            <w:shd w:fill="F2F4F7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163A5F"/>
                <w:sz w:val="18"/>
              </w:rPr>
              <w:t>Resultado</w:t>
            </w:r>
          </w:p>
        </w:tc>
        <w:tc>
          <w:tcPr>
            <w:tcW w:type="dxa" w:w="4060"/>
            <w:vAlign w:val="center"/>
            <w:shd w:fill="F2F4F7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163A5F"/>
                <w:sz w:val="18"/>
              </w:rPr>
              <w:t>Observação</w:t>
            </w:r>
          </w:p>
        </w:tc>
      </w:tr>
      <w:tr>
        <w:trPr/>
        <w:tc>
          <w:tcPr>
            <w:tcW w:type="dxa" w:w="230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npm test</w:t>
            </w:r>
          </w:p>
        </w:tc>
        <w:tc>
          <w:tcPr>
            <w:tcW w:type="dxa" w:w="150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Executado</w:t>
            </w:r>
          </w:p>
        </w:tc>
        <w:tc>
          <w:tcPr>
            <w:tcW w:type="dxa" w:w="150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shd w:fill="EAF5E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Aprovado</w:t>
            </w:r>
          </w:p>
        </w:tc>
        <w:tc>
          <w:tcPr>
            <w:tcW w:type="dxa" w:w="406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47 testes: 45 aprovados, 2 ignorados e 0 falhas.</w:t>
            </w:r>
          </w:p>
        </w:tc>
      </w:tr>
      <w:tr>
        <w:trPr/>
        <w:tc>
          <w:tcPr>
            <w:tcW w:type="dxa" w:w="230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npm run test:coverage</w:t>
            </w:r>
          </w:p>
        </w:tc>
        <w:tc>
          <w:tcPr>
            <w:tcW w:type="dxa" w:w="150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Executado</w:t>
            </w:r>
          </w:p>
        </w:tc>
        <w:tc>
          <w:tcPr>
            <w:tcW w:type="dxa" w:w="150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shd w:fill="EAF5E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Aprovado</w:t>
            </w:r>
          </w:p>
        </w:tc>
        <w:tc>
          <w:tcPr>
            <w:tcW w:type="dxa" w:w="406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Cobertura global c8: 20,14% linhas/statements, 59,09% branches e 50,81% funções.</w:t>
            </w:r>
          </w:p>
        </w:tc>
      </w:tr>
      <w:tr>
        <w:trPr/>
        <w:tc>
          <w:tcPr>
            <w:tcW w:type="dxa" w:w="230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npm audit --omit=dev</w:t>
            </w:r>
          </w:p>
        </w:tc>
        <w:tc>
          <w:tcPr>
            <w:tcW w:type="dxa" w:w="150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Executado</w:t>
            </w:r>
          </w:p>
        </w:tc>
        <w:tc>
          <w:tcPr>
            <w:tcW w:type="dxa" w:w="150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shd w:fill="EAF5E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Atenção</w:t>
            </w:r>
          </w:p>
        </w:tc>
        <w:tc>
          <w:tcPr>
            <w:tcW w:type="dxa" w:w="406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13 vulnerabilidades foram reduzidas para 3: 2 altas e 1 baixa; nenhuma crítica permanece.</w:t>
            </w:r>
          </w:p>
        </w:tc>
      </w:tr>
      <w:tr>
        <w:trPr/>
        <w:tc>
          <w:tcPr>
            <w:tcW w:type="dxa" w:w="230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npm run lint</w:t>
            </w:r>
          </w:p>
        </w:tc>
        <w:tc>
          <w:tcPr>
            <w:tcW w:type="dxa" w:w="150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Executado</w:t>
            </w:r>
          </w:p>
        </w:tc>
        <w:tc>
          <w:tcPr>
            <w:tcW w:type="dxa" w:w="150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shd w:fill="EAF5E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Aprovado</w:t>
            </w:r>
          </w:p>
        </w:tc>
        <w:tc>
          <w:tcPr>
            <w:tcW w:type="dxa" w:w="406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TypeScript sem emissão concluído sem erros.</w:t>
            </w:r>
          </w:p>
        </w:tc>
      </w:tr>
      <w:tr>
        <w:trPr/>
        <w:tc>
          <w:tcPr>
            <w:tcW w:type="dxa" w:w="230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npm run build</w:t>
            </w:r>
          </w:p>
        </w:tc>
        <w:tc>
          <w:tcPr>
            <w:tcW w:type="dxa" w:w="150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Executado</w:t>
            </w:r>
          </w:p>
        </w:tc>
        <w:tc>
          <w:tcPr>
            <w:tcW w:type="dxa" w:w="150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shd w:fill="EAF5E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Aprovado c/ aviso</w:t>
            </w:r>
          </w:p>
        </w:tc>
        <w:tc>
          <w:tcPr>
            <w:tcW w:type="dxa" w:w="406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Build web aprovado; bundle principal permanece acima de 500 kB.</w:t>
            </w:r>
          </w:p>
        </w:tc>
      </w:tr>
      <w:tr>
        <w:trPr/>
        <w:tc>
          <w:tcPr>
            <w:tcW w:type="dxa" w:w="230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npm run build:server</w:t>
            </w:r>
          </w:p>
        </w:tc>
        <w:tc>
          <w:tcPr>
            <w:tcW w:type="dxa" w:w="150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Executado</w:t>
            </w:r>
          </w:p>
        </w:tc>
        <w:tc>
          <w:tcPr>
            <w:tcW w:type="dxa" w:w="150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shd w:fill="EAF5E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Aprovado</w:t>
            </w:r>
          </w:p>
        </w:tc>
        <w:tc>
          <w:tcPr>
            <w:tcW w:type="dxa" w:w="406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Compilação do backend concluída sem erros.</w:t>
            </w:r>
          </w:p>
        </w:tc>
      </w:tr>
      <w:tr>
        <w:trPr/>
        <w:tc>
          <w:tcPr>
            <w:tcW w:type="dxa" w:w="230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npm run test:integration</w:t>
            </w:r>
          </w:p>
        </w:tc>
        <w:tc>
          <w:tcPr>
            <w:tcW w:type="dxa" w:w="150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Não executado localmente</w:t>
            </w:r>
          </w:p>
        </w:tc>
        <w:tc>
          <w:tcPr>
            <w:tcW w:type="dxa" w:w="150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shd w:fill="FDECE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Preparado no CI</w:t>
            </w:r>
          </w:p>
        </w:tc>
        <w:tc>
          <w:tcPr>
            <w:tcW w:type="dxa" w:w="406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PostgreSQL efêmero configurado; Docker local indisponível.</w:t>
            </w:r>
          </w:p>
        </w:tc>
      </w:tr>
      <w:tr>
        <w:trPr/>
        <w:tc>
          <w:tcPr>
            <w:tcW w:type="dxa" w:w="230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npm run test:schema</w:t>
            </w:r>
          </w:p>
        </w:tc>
        <w:tc>
          <w:tcPr>
            <w:tcW w:type="dxa" w:w="150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Não executado localmente</w:t>
            </w:r>
          </w:p>
        </w:tc>
        <w:tc>
          <w:tcPr>
            <w:tcW w:type="dxa" w:w="150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Preparado no CI</w:t>
            </w:r>
          </w:p>
        </w:tc>
        <w:tc>
          <w:tcPr>
            <w:tcW w:type="dxa" w:w="406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Workflow fornece base dedicada e autorização explícita.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Inventário da suíte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350"/>
        <w:gridCol w:w="900"/>
        <w:gridCol w:w="1700"/>
        <w:gridCol w:w="4410"/>
      </w:tblGrid>
      <w:tr>
        <w:trPr>
          <w:tblHeader w:val="true"/>
        </w:trPr>
        <w:tc>
          <w:tcPr>
            <w:tcW w:type="dxa" w:w="2350"/>
            <w:vAlign w:val="center"/>
            <w:shd w:fill="F2F4F7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163A5F"/>
                <w:sz w:val="18"/>
              </w:rPr>
              <w:t>Grupo</w:t>
            </w:r>
          </w:p>
        </w:tc>
        <w:tc>
          <w:tcPr>
            <w:tcW w:type="dxa" w:w="900"/>
            <w:vAlign w:val="center"/>
            <w:shd w:fill="F2F4F7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163A5F"/>
                <w:sz w:val="18"/>
              </w:rPr>
              <w:t>Casos</w:t>
            </w:r>
          </w:p>
        </w:tc>
        <w:tc>
          <w:tcPr>
            <w:tcW w:type="dxa" w:w="1700"/>
            <w:vAlign w:val="center"/>
            <w:shd w:fill="F2F4F7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163A5F"/>
                <w:sz w:val="18"/>
              </w:rPr>
              <w:t>Tipo</w:t>
            </w:r>
          </w:p>
        </w:tc>
        <w:tc>
          <w:tcPr>
            <w:tcW w:type="dxa" w:w="4410"/>
            <w:vAlign w:val="center"/>
            <w:shd w:fill="F2F4F7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163A5F"/>
                <w:sz w:val="18"/>
              </w:rPr>
              <w:t>Cobertura principal</w:t>
            </w:r>
          </w:p>
        </w:tc>
      </w:tr>
      <w:tr>
        <w:trPr/>
        <w:tc>
          <w:tcPr>
            <w:tcW w:type="dxa" w:w="235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Validação normativa</w:t>
            </w:r>
          </w:p>
        </w:tc>
        <w:tc>
          <w:tcPr>
            <w:tcW w:type="dxa" w:w="90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24</w:t>
            </w:r>
          </w:p>
        </w:tc>
        <w:tc>
          <w:tcPr>
            <w:tcW w:type="dxa" w:w="170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Integração/domínio</w:t>
            </w:r>
          </w:p>
        </w:tc>
        <w:tc>
          <w:tcPr>
            <w:tcW w:type="dxa" w:w="441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Nomenclaturas, SQL, fitas, Connect:Direct, dependências, API e persistência.</w:t>
            </w:r>
          </w:p>
        </w:tc>
      </w:tr>
      <w:tr>
        <w:trPr/>
        <w:tc>
          <w:tcPr>
            <w:tcW w:type="dxa" w:w="235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RBAC e isolamento</w:t>
            </w:r>
          </w:p>
        </w:tc>
        <w:tc>
          <w:tcPr>
            <w:tcW w:type="dxa" w:w="90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21</w:t>
            </w:r>
          </w:p>
        </w:tc>
        <w:tc>
          <w:tcPr>
            <w:tcW w:type="dxa" w:w="170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Integração</w:t>
            </w:r>
          </w:p>
        </w:tc>
        <w:tc>
          <w:tcPr>
            <w:tcW w:type="dxa" w:w="441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Tokens, papéis, isolamento, catálogo administrativo, normas e auditoria.</w:t>
            </w:r>
          </w:p>
        </w:tc>
      </w:tr>
      <w:tr>
        <w:trPr/>
        <w:tc>
          <w:tcPr>
            <w:tcW w:type="dxa" w:w="235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Segurança de migrations</w:t>
            </w:r>
          </w:p>
        </w:tc>
        <w:tc>
          <w:tcPr>
            <w:tcW w:type="dxa" w:w="90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12</w:t>
            </w:r>
          </w:p>
        </w:tc>
        <w:tc>
          <w:tcPr>
            <w:tcW w:type="dxa" w:w="170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Unitário</w:t>
            </w:r>
          </w:p>
        </w:tc>
        <w:tc>
          <w:tcPr>
            <w:tcW w:type="dxa" w:w="441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Transações, operações destrutivas e preservação de users.</w:t>
            </w:r>
          </w:p>
        </w:tc>
      </w:tr>
      <w:tr>
        <w:trPr/>
        <w:tc>
          <w:tcPr>
            <w:tcW w:type="dxa" w:w="235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Autenticação/ciclo</w:t>
            </w:r>
          </w:p>
        </w:tc>
        <w:tc>
          <w:tcPr>
            <w:tcW w:type="dxa" w:w="90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6</w:t>
            </w:r>
          </w:p>
        </w:tc>
        <w:tc>
          <w:tcPr>
            <w:tcW w:type="dxa" w:w="170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Integração</w:t>
            </w:r>
          </w:p>
        </w:tc>
        <w:tc>
          <w:tcPr>
            <w:tcW w:type="dxa" w:w="441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Login, inatividade, `/me`, refresh, logout e criação transacional.</w:t>
            </w:r>
          </w:p>
        </w:tc>
      </w:tr>
      <w:tr>
        <w:trPr/>
        <w:tc>
          <w:tcPr>
            <w:tcW w:type="dxa" w:w="235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PDF</w:t>
            </w:r>
          </w:p>
        </w:tc>
        <w:tc>
          <w:tcPr>
            <w:tcW w:type="dxa" w:w="90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10</w:t>
            </w:r>
          </w:p>
        </w:tc>
        <w:tc>
          <w:tcPr>
            <w:tcW w:type="dxa" w:w="170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Unitário/integração</w:t>
            </w:r>
          </w:p>
        </w:tc>
        <w:tc>
          <w:tcPr>
            <w:tcW w:type="dxa" w:w="441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Renderer, logo, avisos, v1/v2, overflow, metadados, CAPADOR e endpoint.</w:t>
            </w:r>
          </w:p>
        </w:tc>
      </w:tr>
      <w:tr>
        <w:trPr/>
        <w:tc>
          <w:tcPr>
            <w:tcW w:type="dxa" w:w="235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Jobs</w:t>
            </w:r>
          </w:p>
        </w:tc>
        <w:tc>
          <w:tcPr>
            <w:tcW w:type="dxa" w:w="90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7</w:t>
            </w:r>
          </w:p>
        </w:tc>
        <w:tc>
          <w:tcPr>
            <w:tcW w:type="dxa" w:w="170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Integração</w:t>
            </w:r>
          </w:p>
        </w:tc>
        <w:tc>
          <w:tcPr>
            <w:tcW w:type="dxa" w:w="441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CRUD, RBAC, seed e invalidação de cache.</w:t>
            </w:r>
          </w:p>
        </w:tc>
      </w:tr>
      <w:tr>
        <w:trPr/>
        <w:tc>
          <w:tcPr>
            <w:tcW w:type="dxa" w:w="235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Chat/persistência</w:t>
            </w:r>
          </w:p>
        </w:tc>
        <w:tc>
          <w:tcPr>
            <w:tcW w:type="dxa" w:w="90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7</w:t>
            </w:r>
          </w:p>
        </w:tc>
        <w:tc>
          <w:tcPr>
            <w:tcW w:type="dxa" w:w="170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Integração</w:t>
            </w:r>
          </w:p>
        </w:tc>
        <w:tc>
          <w:tcPr>
            <w:tcW w:type="dxa" w:w="441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Conversas, mensagens, isolamento e chat.</w:t>
            </w:r>
          </w:p>
        </w:tc>
      </w:tr>
      <w:tr>
        <w:trPr/>
        <w:tc>
          <w:tcPr>
            <w:tcW w:type="dxa" w:w="235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Demais</w:t>
            </w:r>
          </w:p>
        </w:tc>
        <w:tc>
          <w:tcPr>
            <w:tcW w:type="dxa" w:w="90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sz w:val="18"/>
              </w:rPr>
              <w:t>38</w:t>
            </w:r>
          </w:p>
        </w:tc>
        <w:tc>
          <w:tcPr>
            <w:tcW w:type="dxa" w:w="170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Misto</w:t>
            </w:r>
          </w:p>
        </w:tc>
        <w:tc>
          <w:tcPr>
            <w:tcW w:type="dxa" w:w="441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Application v2, catálogo, dicionário, interações, prompts, conhecimento, normas e utilitários frontend.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Matriz de cobertura funcional</w:t>
      </w:r>
    </w:p>
    <w:p>
      <w:pPr>
        <w:spacing w:before="0" w:after="120" w:line="264" w:lineRule="auto"/>
      </w:pPr>
      <w:r>
        <w:rPr>
          <w:rFonts w:ascii="Calibri" w:hAnsi="Calibri"/>
          <w:i w:val="0"/>
          <w:color w:val="000000"/>
          <w:sz w:val="22"/>
        </w:rPr>
        <w:t>A matriz abaixo expressa a força da evidência, e não apenas a existência de um arquivo de teste. Testes dependentes de banco que não puderam ser executados nesta análise permanecem como cobertura implementada, porém não comprovada nesta execução.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650"/>
        <w:gridCol w:w="2850"/>
        <w:gridCol w:w="1000"/>
        <w:gridCol w:w="3860"/>
      </w:tblGrid>
      <w:tr>
        <w:trPr>
          <w:tblHeader w:val="true"/>
        </w:trPr>
        <w:tc>
          <w:tcPr>
            <w:tcW w:type="dxa" w:w="1650"/>
            <w:vAlign w:val="center"/>
            <w:shd w:fill="F2F4F7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63A5F"/>
                <w:sz w:val="16"/>
              </w:rPr>
              <w:t>Capacidade</w:t>
            </w:r>
          </w:p>
        </w:tc>
        <w:tc>
          <w:tcPr>
            <w:tcW w:type="dxa" w:w="2850"/>
            <w:vAlign w:val="center"/>
            <w:shd w:fill="F2F4F7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63A5F"/>
                <w:sz w:val="16"/>
              </w:rPr>
              <w:t>Evidência encontrada</w:t>
            </w:r>
          </w:p>
        </w:tc>
        <w:tc>
          <w:tcPr>
            <w:tcW w:type="dxa" w:w="1000"/>
            <w:vAlign w:val="center"/>
            <w:shd w:fill="F2F4F7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63A5F"/>
                <w:sz w:val="16"/>
              </w:rPr>
              <w:t>Nível</w:t>
            </w:r>
          </w:p>
        </w:tc>
        <w:tc>
          <w:tcPr>
            <w:tcW w:type="dxa" w:w="3860"/>
            <w:vAlign w:val="center"/>
            <w:shd w:fill="F2F4F7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63A5F"/>
                <w:sz w:val="16"/>
              </w:rPr>
              <w:t>Lacunas relevantes</w:t>
            </w:r>
          </w:p>
        </w:tc>
      </w:tr>
      <w:tr>
        <w:trPr/>
        <w:tc>
          <w:tcPr>
            <w:tcW w:type="dxa" w:w="165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Autenticação e sessão</w:t>
            </w:r>
          </w:p>
        </w:tc>
        <w:tc>
          <w:tcPr>
            <w:tcW w:type="dxa" w:w="285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Login, `/me`, refresh, logout, signup e usuário inativo.</w:t>
            </w:r>
          </w:p>
        </w:tc>
        <w:tc>
          <w:tcPr>
            <w:tcW w:type="dxa" w:w="100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shd w:fill="EAF5E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/>
                <w:color w:val="2E7D32"/>
                <w:sz w:val="16"/>
              </w:rPr>
              <w:t>Forte</w:t>
            </w:r>
          </w:p>
        </w:tc>
        <w:tc>
          <w:tcPr>
            <w:tcW w:type="dxa" w:w="386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Adicionar expiração, replay/rotação concorrente e limites de tentativas.</w:t>
            </w:r>
          </w:p>
        </w:tc>
      </w:tr>
      <w:tr>
        <w:trPr/>
        <w:tc>
          <w:tcPr>
            <w:tcW w:type="dxa" w:w="165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RBAC e isolamento</w:t>
            </w:r>
          </w:p>
        </w:tc>
        <w:tc>
          <w:tcPr>
            <w:tcW w:type="dxa" w:w="285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Papéis ADMIN/OPERADOR/SOLICITANTE, tokens inválidos, escopo por usuário e auditoria.</w:t>
            </w:r>
          </w:p>
        </w:tc>
        <w:tc>
          <w:tcPr>
            <w:tcW w:type="dxa" w:w="100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shd w:fill="EAF5E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/>
                <w:color w:val="2E7D32"/>
                <w:sz w:val="16"/>
              </w:rPr>
              <w:t>Forte</w:t>
            </w:r>
          </w:p>
        </w:tc>
        <w:tc>
          <w:tcPr>
            <w:tcW w:type="dxa" w:w="386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Ampliar matriz para todas as rotas administrativas.</w:t>
            </w:r>
          </w:p>
        </w:tc>
      </w:tr>
      <w:tr>
        <w:trPr/>
        <w:tc>
          <w:tcPr>
            <w:tcW w:type="dxa" w:w="165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Jobs e parâmetros</w:t>
            </w:r>
          </w:p>
        </w:tc>
        <w:tc>
          <w:tcPr>
            <w:tcW w:type="dxa" w:w="285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Listagem, criação, atualização, inexistente, seed, exclusão e cache.</w:t>
            </w:r>
          </w:p>
        </w:tc>
        <w:tc>
          <w:tcPr>
            <w:tcW w:type="dxa" w:w="100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shd w:fill="EAF5E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/>
                <w:color w:val="2E7D32"/>
                <w:sz w:val="16"/>
              </w:rPr>
              <w:t>Forte</w:t>
            </w:r>
          </w:p>
        </w:tc>
        <w:tc>
          <w:tcPr>
            <w:tcW w:type="dxa" w:w="386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Cobrir concorrência, duplicidade e falhas transacionais por etapa.</w:t>
            </w:r>
          </w:p>
        </w:tc>
      </w:tr>
      <w:tr>
        <w:trPr/>
        <w:tc>
          <w:tcPr>
            <w:tcW w:type="dxa" w:w="165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Validação N/PD/004/02</w:t>
            </w:r>
          </w:p>
        </w:tc>
        <w:tc>
          <w:tcPr>
            <w:tcW w:type="dxa" w:w="285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Cenários positivos, negativos, limites e integração com salvamento.</w:t>
            </w:r>
          </w:p>
        </w:tc>
        <w:tc>
          <w:tcPr>
            <w:tcW w:type="dxa" w:w="100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shd w:fill="EAF5E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/>
                <w:color w:val="2E7D32"/>
                <w:sz w:val="16"/>
              </w:rPr>
              <w:t>Forte</w:t>
            </w:r>
          </w:p>
        </w:tc>
        <w:tc>
          <w:tcPr>
            <w:tcW w:type="dxa" w:w="386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Incluir fuzz/property-based e regressões de cada regra publicada.</w:t>
            </w:r>
          </w:p>
        </w:tc>
      </w:tr>
      <w:tr>
        <w:trPr/>
        <w:tc>
          <w:tcPr>
            <w:tcW w:type="dxa" w:w="165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Checklist tradicional</w:t>
            </w:r>
          </w:p>
        </w:tc>
        <w:tc>
          <w:tcPr>
            <w:tcW w:type="dxa" w:w="285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Criação estruturada, schema, idempotência, retry, status e isolamento.</w:t>
            </w:r>
          </w:p>
        </w:tc>
        <w:tc>
          <w:tcPr>
            <w:tcW w:type="dxa" w:w="100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shd w:fill="EAF5E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/>
                <w:color w:val="2E7D32"/>
                <w:sz w:val="16"/>
              </w:rPr>
              <w:t>Forte</w:t>
            </w:r>
          </w:p>
        </w:tc>
        <w:tc>
          <w:tcPr>
            <w:tcW w:type="dxa" w:w="386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Cobrir paginação/filtros, atualização (se aplicável) e mais erros de banco.</w:t>
            </w:r>
          </w:p>
        </w:tc>
      </w:tr>
      <w:tr>
        <w:trPr/>
        <w:tc>
          <w:tcPr>
            <w:tcW w:type="dxa" w:w="165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Checklist por Application v2</w:t>
            </w:r>
          </w:p>
        </w:tc>
        <w:tc>
          <w:tcPr>
            <w:tcW w:type="dxa" w:w="285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Schema, normalização, endpoint autenticado, payload inválido, compatibilidade e idempotência.</w:t>
            </w:r>
          </w:p>
        </w:tc>
        <w:tc>
          <w:tcPr>
            <w:tcW w:type="dxa" w:w="100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shd w:fill="FFF4D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/>
                <w:color w:val="A35A00"/>
                <w:sz w:val="16"/>
              </w:rPr>
              <w:t>Moderada</w:t>
            </w:r>
          </w:p>
        </w:tc>
        <w:tc>
          <w:tcPr>
            <w:tcW w:type="dxa" w:w="386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Persistência e caminho feliz completo ainda dependem do PostgreSQL efêmero.</w:t>
            </w:r>
          </w:p>
        </w:tc>
      </w:tr>
      <w:tr>
        <w:trPr/>
        <w:tc>
          <w:tcPr>
            <w:tcW w:type="dxa" w:w="165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PDF</w:t>
            </w:r>
          </w:p>
        </w:tc>
        <w:tc>
          <w:tcPr>
            <w:tcW w:type="dxa" w:w="285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Conteúdo, overflow, metadados, branding, v1/v2 e CAPADOR.</w:t>
            </w:r>
          </w:p>
        </w:tc>
        <w:tc>
          <w:tcPr>
            <w:tcW w:type="dxa" w:w="100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shd w:fill="FFF4D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/>
                <w:color w:val="A35A00"/>
                <w:sz w:val="16"/>
              </w:rPr>
              <w:t>Moderada</w:t>
            </w:r>
          </w:p>
        </w:tc>
        <w:tc>
          <w:tcPr>
            <w:tcW w:type="dxa" w:w="386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Dois testes HTTP foram ignorados sem banco; falta regressão visual automatizada.</w:t>
            </w:r>
          </w:p>
        </w:tc>
      </w:tr>
      <w:tr>
        <w:trPr/>
        <w:tc>
          <w:tcPr>
            <w:tcW w:type="dxa" w:w="165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Chat e conversas</w:t>
            </w:r>
          </w:p>
        </w:tc>
        <w:tc>
          <w:tcPr>
            <w:tcW w:type="dxa" w:w="285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Criação/listagem, persistência, mensagens e isolamento.</w:t>
            </w:r>
          </w:p>
        </w:tc>
        <w:tc>
          <w:tcPr>
            <w:tcW w:type="dxa" w:w="100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shd w:fill="FFF4D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/>
                <w:color w:val="A35A00"/>
                <w:sz w:val="16"/>
              </w:rPr>
              <w:t>Moderada</w:t>
            </w:r>
          </w:p>
        </w:tc>
        <w:tc>
          <w:tcPr>
            <w:tcW w:type="dxa" w:w="386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Modelos, preferências, timeout, indisponibilidade e respostas inválidas da IA sem cobertura direta.</w:t>
            </w:r>
          </w:p>
        </w:tc>
      </w:tr>
      <w:tr>
        <w:trPr/>
        <w:tc>
          <w:tcPr>
            <w:tcW w:type="dxa" w:w="165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Normas e contexto</w:t>
            </w:r>
          </w:p>
        </w:tc>
        <w:tc>
          <w:tcPr>
            <w:tcW w:type="dxa" w:w="285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Criação, aprovação/publicação, aplicabilidade, RBAC e injeção no contexto.</w:t>
            </w:r>
          </w:p>
        </w:tc>
        <w:tc>
          <w:tcPr>
            <w:tcW w:type="dxa" w:w="100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shd w:fill="FFF4D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/>
                <w:color w:val="A35A00"/>
                <w:sz w:val="16"/>
              </w:rPr>
              <w:t>Moderada</w:t>
            </w:r>
          </w:p>
        </w:tc>
        <w:tc>
          <w:tcPr>
            <w:tcW w:type="dxa" w:w="386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Update comum, rollback, exclusão, seed e regras de versão ainda incompletos.</w:t>
            </w:r>
          </w:p>
        </w:tc>
      </w:tr>
      <w:tr>
        <w:trPr/>
        <w:tc>
          <w:tcPr>
            <w:tcW w:type="dxa" w:w="165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Catálogo de checklist</w:t>
            </w:r>
          </w:p>
        </w:tc>
        <w:tc>
          <w:tcPr>
            <w:tcW w:type="dxa" w:w="285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RBAC administrativo, filtro kind, import vazio, regex inválida e códigos duplicados.</w:t>
            </w:r>
          </w:p>
        </w:tc>
        <w:tc>
          <w:tcPr>
            <w:tcW w:type="dxa" w:w="100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shd w:fill="FDECE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Moderada</w:t>
            </w:r>
          </w:p>
        </w:tc>
        <w:tc>
          <w:tcPr>
            <w:tcW w:type="dxa" w:w="386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Imports/listagens positivos e versionamento ainda precisam ser confirmados com banco.</w:t>
            </w:r>
          </w:p>
        </w:tc>
      </w:tr>
      <w:tr>
        <w:trPr/>
        <w:tc>
          <w:tcPr>
            <w:tcW w:type="dxa" w:w="165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Dicionário</w:t>
            </w:r>
          </w:p>
        </w:tc>
        <w:tc>
          <w:tcPr>
            <w:tcW w:type="dxa" w:w="285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RBAC, campos obrigatórios e rollback transacional em publicação/retorno de versão.</w:t>
            </w:r>
          </w:p>
        </w:tc>
        <w:tc>
          <w:tcPr>
            <w:tcW w:type="dxa" w:w="100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shd w:fill="FDECE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Moderada</w:t>
            </w:r>
          </w:p>
        </w:tc>
        <w:tc>
          <w:tcPr>
            <w:tcW w:type="dxa" w:w="386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CRUD positivo, aprovação, seed e cache ainda dependem da suíte integrada.</w:t>
            </w:r>
          </w:p>
        </w:tc>
      </w:tr>
      <w:tr>
        <w:trPr/>
        <w:tc>
          <w:tcPr>
            <w:tcW w:type="dxa" w:w="165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Usuários</w:t>
            </w:r>
          </w:p>
        </w:tc>
        <w:tc>
          <w:tcPr>
            <w:tcW w:type="dxa" w:w="285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Listagem por ADMIN, bloqueios por papel e criação transacional.</w:t>
            </w:r>
          </w:p>
        </w:tc>
        <w:tc>
          <w:tcPr>
            <w:tcW w:type="dxa" w:w="100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shd w:fill="FFF4D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/>
                <w:color w:val="A35A00"/>
                <w:sz w:val="16"/>
              </w:rPr>
              <w:t>Moderada</w:t>
            </w:r>
          </w:p>
        </w:tc>
        <w:tc>
          <w:tcPr>
            <w:tcW w:type="dxa" w:w="386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Atualização de usuário, validações, duplicidade, reativação/inativação e concorrência.</w:t>
            </w:r>
          </w:p>
        </w:tc>
      </w:tr>
      <w:tr>
        <w:trPr/>
        <w:tc>
          <w:tcPr>
            <w:tcW w:type="dxa" w:w="165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Interações/feedback</w:t>
            </w:r>
          </w:p>
        </w:tc>
        <w:tc>
          <w:tcPr>
            <w:tcW w:type="dxa" w:w="285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Agregações por papel, feedback do proprietário e bloqueio de terceiro.</w:t>
            </w:r>
          </w:p>
        </w:tc>
        <w:tc>
          <w:tcPr>
            <w:tcW w:type="dxa" w:w="100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shd w:fill="FFF4D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/>
                <w:color w:val="A35A00"/>
                <w:sz w:val="16"/>
              </w:rPr>
              <w:t>Moderada</w:t>
            </w:r>
          </w:p>
        </w:tc>
        <w:tc>
          <w:tcPr>
            <w:tcW w:type="dxa" w:w="386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Entradas inválidas, duplicidade, paginação e anonimização.</w:t>
            </w:r>
          </w:p>
        </w:tc>
      </w:tr>
      <w:tr>
        <w:trPr/>
        <w:tc>
          <w:tcPr>
            <w:tcW w:type="dxa" w:w="165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Frontend</w:t>
            </w:r>
          </w:p>
        </w:tc>
        <w:tc>
          <w:tcPr>
            <w:tcW w:type="dxa" w:w="285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6 testes unitários cobrem apresentação de avisos e construção de comandos.</w:t>
            </w:r>
          </w:p>
        </w:tc>
        <w:tc>
          <w:tcPr>
            <w:tcW w:type="dxa" w:w="100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shd w:fill="FDECE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/>
                <w:color w:val="B42318"/>
                <w:sz w:val="16"/>
              </w:rPr>
              <w:t>Fraca</w:t>
            </w:r>
          </w:p>
        </w:tc>
        <w:tc>
          <w:tcPr>
            <w:tcW w:type="dxa" w:w="386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Componentes, páginas, contexto de autenticação, serviços HTTP e jornadas E2E permanecem sem testes.</w:t>
            </w:r>
          </w:p>
        </w:tc>
      </w:tr>
    </w:tbl>
    <w:p>
      <w:pPr>
        <w:spacing w:after="40"/>
      </w:pPr>
    </w:p>
    <w:p>
      <w:pPr>
        <w:spacing w:before="80" w:after="80"/>
      </w:pPr>
      <w:r>
        <w:rPr>
          <w:rFonts w:ascii="Calibri" w:hAnsi="Calibri"/>
          <w:i/>
          <w:color w:val="5B6573"/>
          <w:sz w:val="17"/>
        </w:rPr>
        <w:t>Os 52 handlers foram identificados por varredura das rotas Express. Não foi calculado percentual por endpoint, pois citar uma rota em um teste não comprova cobertura completa de seus ramos, erros e regras de autorização.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Cobertura de código medida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DECEC"/>
            <w:tcBorders>
              <w:top w:val="single" w:sz="4" w:color="B42318"/>
              <w:left w:val="single" w:sz="4" w:color="B42318"/>
              <w:bottom w:val="single" w:sz="4" w:color="B42318"/>
              <w:right w:val="single" w:sz="4" w:color="B42318"/>
              <w:insideH w:val="single" w:sz="4" w:color="B42318"/>
              <w:insideV w:val="single" w:sz="4" w:color="B4231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/>
                <w:color w:val="163A5F"/>
                <w:sz w:val="21"/>
              </w:rPr>
              <w:t xml:space="preserve">IMPORTANTE  </w:t>
            </w:r>
            <w:r>
              <w:rPr>
                <w:rFonts w:ascii="Calibri" w:hAnsi="Calibri"/>
                <w:b w:val="0"/>
                <w:color w:val="000000"/>
                <w:sz w:val="21"/>
              </w:rPr>
              <w:t>A métrica de 20,14% é a nova baseline global. Ela inclui arquivos TypeScript e TSX não exercitados e, por isso, representa com mais fidelidade o risco real do sistema do que os 73,59% do recorte anterior.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600"/>
        <w:gridCol w:w="1100"/>
        <w:gridCol w:w="1100"/>
        <w:gridCol w:w="1100"/>
        <w:gridCol w:w="3460"/>
      </w:tblGrid>
      <w:tr>
        <w:trPr>
          <w:tblHeader w:val="true"/>
        </w:trPr>
        <w:tc>
          <w:tcPr>
            <w:tcW w:type="dxa" w:w="2600"/>
            <w:vAlign w:val="center"/>
            <w:shd w:fill="F2F4F7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163A5F"/>
                <w:sz w:val="18"/>
              </w:rPr>
              <w:t>Área instrumentada</w:t>
            </w:r>
          </w:p>
        </w:tc>
        <w:tc>
          <w:tcPr>
            <w:tcW w:type="dxa" w:w="1100"/>
            <w:vAlign w:val="center"/>
            <w:shd w:fill="F2F4F7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163A5F"/>
                <w:sz w:val="18"/>
              </w:rPr>
              <w:t>Linhas</w:t>
            </w:r>
          </w:p>
        </w:tc>
        <w:tc>
          <w:tcPr>
            <w:tcW w:type="dxa" w:w="1100"/>
            <w:vAlign w:val="center"/>
            <w:shd w:fill="F2F4F7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163A5F"/>
                <w:sz w:val="18"/>
              </w:rPr>
              <w:t>Branches</w:t>
            </w:r>
          </w:p>
        </w:tc>
        <w:tc>
          <w:tcPr>
            <w:tcW w:type="dxa" w:w="1100"/>
            <w:vAlign w:val="center"/>
            <w:shd w:fill="F2F4F7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163A5F"/>
                <w:sz w:val="18"/>
              </w:rPr>
              <w:t>Funções</w:t>
            </w:r>
          </w:p>
        </w:tc>
        <w:tc>
          <w:tcPr>
            <w:tcW w:type="dxa" w:w="3460"/>
            <w:vAlign w:val="center"/>
            <w:shd w:fill="F2F4F7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163A5F"/>
                <w:sz w:val="18"/>
              </w:rPr>
              <w:t>Interpretação</w:t>
            </w:r>
          </w:p>
        </w:tc>
      </w:tr>
      <w:tr>
        <w:trPr/>
        <w:tc>
          <w:tcPr>
            <w:tcW w:type="dxa" w:w="260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Total global</w:t>
            </w:r>
          </w:p>
        </w:tc>
        <w:tc>
          <w:tcPr>
            <w:tcW w:type="dxa" w:w="110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20,14%</w:t>
            </w:r>
          </w:p>
        </w:tc>
        <w:tc>
          <w:tcPr>
            <w:tcW w:type="dxa" w:w="110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59,09%</w:t>
            </w:r>
          </w:p>
        </w:tc>
        <w:tc>
          <w:tcPr>
            <w:tcW w:type="dxa" w:w="110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50,81%</w:t>
            </w:r>
          </w:p>
        </w:tc>
        <w:tc>
          <w:tcPr>
            <w:tcW w:type="dxa" w:w="346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Baseline completa de backend + frontend, inclusive arquivos com zero execução.</w:t>
            </w:r>
          </w:p>
        </w:tc>
      </w:tr>
      <w:tr>
        <w:trPr/>
        <w:tc>
          <w:tcPr>
            <w:tcW w:type="dxa" w:w="260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Backend</w:t>
            </w:r>
          </w:p>
        </w:tc>
        <w:tc>
          <w:tcPr>
            <w:tcW w:type="dxa" w:w="110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47,01%</w:t>
            </w:r>
          </w:p>
        </w:tc>
        <w:tc>
          <w:tcPr>
            <w:tcW w:type="dxa" w:w="110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79,68%</w:t>
            </w:r>
          </w:p>
        </w:tc>
        <w:tc>
          <w:tcPr>
            <w:tcW w:type="dxa" w:w="110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57,14%</w:t>
            </w:r>
          </w:p>
        </w:tc>
        <w:tc>
          <w:tcPr>
            <w:tcW w:type="dxa" w:w="346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Rotas carregadas pelo app e serviços centrais; integração aumentará principalmente linhas.</w:t>
            </w:r>
          </w:p>
        </w:tc>
      </w:tr>
      <w:tr>
        <w:trPr/>
        <w:tc>
          <w:tcPr>
            <w:tcW w:type="dxa" w:w="260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Schemas</w:t>
            </w:r>
          </w:p>
        </w:tc>
        <w:tc>
          <w:tcPr>
            <w:tcW w:type="dxa" w:w="110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84,22%</w:t>
            </w:r>
          </w:p>
        </w:tc>
        <w:tc>
          <w:tcPr>
            <w:tcW w:type="dxa" w:w="110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50,89%</w:t>
            </w:r>
          </w:p>
        </w:tc>
        <w:tc>
          <w:tcPr>
            <w:tcW w:type="dxa" w:w="110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100,00%</w:t>
            </w:r>
          </w:p>
        </w:tc>
        <w:tc>
          <w:tcPr>
            <w:tcW w:type="dxa" w:w="346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Boa linha-base; ampliar combinações e branches do checklist v2.</w:t>
            </w:r>
          </w:p>
        </w:tc>
      </w:tr>
      <w:tr>
        <w:trPr/>
        <w:tc>
          <w:tcPr>
            <w:tcW w:type="dxa" w:w="260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Serviços backend</w:t>
            </w:r>
          </w:p>
        </w:tc>
        <w:tc>
          <w:tcPr>
            <w:tcW w:type="dxa" w:w="110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54,28%</w:t>
            </w:r>
          </w:p>
        </w:tc>
        <w:tc>
          <w:tcPr>
            <w:tcW w:type="dxa" w:w="110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67,15%</w:t>
            </w:r>
          </w:p>
        </w:tc>
        <w:tc>
          <w:tcPr>
            <w:tcW w:type="dxa" w:w="110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64,28%</w:t>
            </w:r>
          </w:p>
        </w:tc>
        <w:tc>
          <w:tcPr>
            <w:tcW w:type="dxa" w:w="346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PDF forte; validationEngine ainda depende da suíte integrada.</w:t>
            </w:r>
          </w:p>
        </w:tc>
      </w:tr>
      <w:tr>
        <w:trPr/>
        <w:tc>
          <w:tcPr>
            <w:tcW w:type="dxa" w:w="260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Frontend</w:t>
            </w:r>
          </w:p>
        </w:tc>
        <w:tc>
          <w:tcPr>
            <w:tcW w:type="dxa" w:w="110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0,00% agregado</w:t>
            </w:r>
          </w:p>
        </w:tc>
        <w:tc>
          <w:tcPr>
            <w:tcW w:type="dxa" w:w="110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0,00%</w:t>
            </w:r>
          </w:p>
        </w:tc>
        <w:tc>
          <w:tcPr>
            <w:tcW w:type="dxa" w:w="110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0,00%</w:t>
            </w:r>
          </w:p>
        </w:tc>
        <w:tc>
          <w:tcPr>
            <w:tcW w:type="dxa" w:w="346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Dois utilitários têm testes, mas componentes/páginas dominam o volume sem cobertura.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Limitações da medição</w:t>
      </w:r>
    </w:p>
    <w:p>
      <w:pPr>
        <w:pStyle w:val="ListBullet"/>
        <w:spacing w:after="160" w:line="280" w:lineRule="auto"/>
      </w:pPr>
      <w:r>
        <w:rPr>
          <w:rFonts w:ascii="Calibri" w:hAnsi="Calibri"/>
          <w:b w:val="0"/>
          <w:color w:val="000000"/>
          <w:sz w:val="22"/>
        </w:rPr>
        <w:t>O comando de cobertura usa c8 --all e inclui todo o código TypeScript/TSX de backend e frontend, inclusive arquivos não carregados.</w:t>
      </w:r>
    </w:p>
    <w:p>
      <w:pPr>
        <w:pStyle w:val="ListBullet"/>
        <w:spacing w:after="160" w:line="280" w:lineRule="auto"/>
      </w:pPr>
      <w:r>
        <w:rPr>
          <w:rFonts w:ascii="Calibri" w:hAnsi="Calibri"/>
          <w:b w:val="0"/>
          <w:color w:val="000000"/>
          <w:sz w:val="22"/>
        </w:rPr>
        <w:t>Os testes de integração completos continuam exigindo `DATABASE_URL_TEST`; o workflow agora fornece PostgreSQL efêmero sem fallback para a base da aplicação.</w:t>
      </w:r>
    </w:p>
    <w:p>
      <w:pPr>
        <w:pStyle w:val="ListBullet"/>
        <w:spacing w:after="160" w:line="280" w:lineRule="auto"/>
      </w:pPr>
      <w:r>
        <w:rPr>
          <w:rFonts w:ascii="Calibri" w:hAnsi="Calibri"/>
          <w:b w:val="0"/>
          <w:color w:val="000000"/>
          <w:sz w:val="22"/>
        </w:rPr>
        <w:t>O baseline bloqueante foi configurado em 19% de linhas/statements, 55% de branches e 45% de funções; deve subir gradualmente a cada ciclo.</w:t>
      </w:r>
    </w:p>
    <w:p>
      <w:pPr>
        <w:pStyle w:val="ListBullet"/>
        <w:spacing w:after="160" w:line="280" w:lineRule="auto"/>
      </w:pPr>
      <w:r>
        <w:rPr>
          <w:rFonts w:ascii="Calibri" w:hAnsi="Calibri"/>
          <w:b w:val="0"/>
          <w:color w:val="000000"/>
          <w:sz w:val="22"/>
        </w:rPr>
        <w:t>O frontend passou a aparecer no relatório global, mas componentes, páginas, rotas React e serviços do cliente permanecem com zero cobertura.</w:t>
      </w:r>
    </w:p>
    <w:p>
      <w:pPr>
        <w:pStyle w:val="ListBullet"/>
        <w:spacing w:after="160" w:line="280" w:lineRule="auto"/>
      </w:pPr>
      <w:r>
        <w:rPr>
          <w:rFonts w:ascii="Calibri" w:hAnsi="Calibri"/>
          <w:b w:val="0"/>
          <w:color w:val="000000"/>
          <w:sz w:val="22"/>
        </w:rPr>
        <w:t>O pipeline foi criado em `.github/workflows/test.yml`; sua primeira execução remota ainda precisa confirmar a suíte integrada e o teste de schema.</w:t>
      </w:r>
    </w:p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Riscos de qualidade não funcional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00"/>
        <w:gridCol w:w="3500"/>
        <w:gridCol w:w="4160"/>
      </w:tblGrid>
      <w:tr>
        <w:trPr>
          <w:tblHeader w:val="true"/>
        </w:trPr>
        <w:tc>
          <w:tcPr>
            <w:tcW w:type="dxa" w:w="1700"/>
            <w:vAlign w:val="center"/>
            <w:shd w:fill="F2F4F7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63A5F"/>
                <w:sz w:val="18"/>
              </w:rPr>
              <w:t>Dimensão</w:t>
            </w:r>
          </w:p>
        </w:tc>
        <w:tc>
          <w:tcPr>
            <w:tcW w:type="dxa" w:w="3500"/>
            <w:vAlign w:val="center"/>
            <w:shd w:fill="F2F4F7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63A5F"/>
                <w:sz w:val="18"/>
              </w:rPr>
              <w:t>Cobertura atual</w:t>
            </w:r>
          </w:p>
        </w:tc>
        <w:tc>
          <w:tcPr>
            <w:tcW w:type="dxa" w:w="4160"/>
            <w:vAlign w:val="center"/>
            <w:shd w:fill="F2F4F7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63A5F"/>
                <w:sz w:val="18"/>
              </w:rPr>
              <w:t>Risco</w:t>
            </w:r>
          </w:p>
        </w:tc>
      </w:tr>
      <w:tr>
        <w:trPr/>
        <w:tc>
          <w:tcPr>
            <w:tcW w:type="dxa" w:w="170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Segurança</w:t>
            </w:r>
          </w:p>
        </w:tc>
        <w:tc>
          <w:tcPr>
            <w:tcW w:type="dxa" w:w="350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RBAC, isolamento, migrations, validações de entrada e auditoria crítica de dependências estão no gate.</w:t>
            </w:r>
          </w:p>
        </w:tc>
        <w:tc>
          <w:tcPr>
            <w:tcW w:type="dxa" w:w="416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Restam 2 vulnerabilidades altas e 1 baixa que exigem atualização incompatível ou correção upstream; faltam SAST, rate limit e testes de headers/CORS.</w:t>
            </w:r>
          </w:p>
        </w:tc>
      </w:tr>
      <w:tr>
        <w:trPr/>
        <w:tc>
          <w:tcPr>
            <w:tcW w:type="dxa" w:w="170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Desempenho</w:t>
            </w:r>
          </w:p>
        </w:tc>
        <w:tc>
          <w:tcPr>
            <w:tcW w:type="dxa" w:w="350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Sem testes identificados.</w:t>
            </w:r>
          </w:p>
        </w:tc>
        <w:tc>
          <w:tcPr>
            <w:tcW w:type="dxa" w:w="416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Regressões em consultas, geração de PDF, prompts e bundle web podem chegar à produção sem alerta.</w:t>
            </w:r>
          </w:p>
        </w:tc>
      </w:tr>
      <w:tr>
        <w:trPr/>
        <w:tc>
          <w:tcPr>
            <w:tcW w:type="dxa" w:w="170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Acessibilidade</w:t>
            </w:r>
          </w:p>
        </w:tc>
        <w:tc>
          <w:tcPr>
            <w:tcW w:type="dxa" w:w="350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Sem testes identificados.</w:t>
            </w:r>
          </w:p>
        </w:tc>
        <w:tc>
          <w:tcPr>
            <w:tcW w:type="dxa" w:w="416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Login, formulários, tabelas e navegação podem não atender teclado/leitores de tela.</w:t>
            </w:r>
          </w:p>
        </w:tc>
      </w:tr>
      <w:tr>
        <w:trPr/>
        <w:tc>
          <w:tcPr>
            <w:tcW w:type="dxa" w:w="170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Resiliência</w:t>
            </w:r>
          </w:p>
        </w:tc>
        <w:tc>
          <w:tcPr>
            <w:tcW w:type="dxa" w:w="350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Alguns fallbacks de PDF e transações são cobertos.</w:t>
            </w:r>
          </w:p>
        </w:tc>
        <w:tc>
          <w:tcPr>
            <w:tcW w:type="dxa" w:w="416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Timeout/retry/circuit breaker da IA e falhas parciais de banco ainda carecem de cenários.</w:t>
            </w:r>
          </w:p>
        </w:tc>
      </w:tr>
      <w:tr>
        <w:trPr/>
        <w:tc>
          <w:tcPr>
            <w:tcW w:type="dxa" w:w="170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Compatibilidade</w:t>
            </w:r>
          </w:p>
        </w:tc>
        <w:tc>
          <w:tcPr>
            <w:tcW w:type="dxa" w:w="350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Builds e schema v1/v2 são verificados; PostgreSQL efêmero foi configurado no CI.</w:t>
            </w:r>
          </w:p>
        </w:tc>
        <w:tc>
          <w:tcPr>
            <w:tcW w:type="dxa" w:w="416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A execução remota do workflow e a matriz de navegadores ainda precisam ser comprovadas.</w:t>
            </w:r>
          </w:p>
        </w:tc>
      </w:tr>
      <w:tr>
        <w:trPr/>
        <w:tc>
          <w:tcPr>
            <w:tcW w:type="dxa" w:w="170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Observabilidade</w:t>
            </w:r>
          </w:p>
        </w:tc>
        <w:tc>
          <w:tcPr>
            <w:tcW w:type="dxa" w:w="350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Auditoria funcional é testada parcialmente.</w:t>
            </w:r>
          </w:p>
        </w:tc>
        <w:tc>
          <w:tcPr>
            <w:tcW w:type="dxa" w:w="416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Sem contrato de logs, correlação, métricas, alertas ou remoção de dados sensíveis.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Plano recomendado de evolução</w:t>
      </w:r>
    </w:p>
    <w:p>
      <w:pPr>
        <w:spacing w:before="0" w:after="120" w:line="264" w:lineRule="auto"/>
      </w:pPr>
      <w:r>
        <w:rPr>
          <w:rFonts w:ascii="Calibri" w:hAnsi="Calibri"/>
          <w:i w:val="0"/>
          <w:color w:val="000000"/>
          <w:sz w:val="22"/>
        </w:rPr>
        <w:t>A priorização combina risco de negócio, amplitude da lacuna e custo de implementação. O objetivo inicial é tornar o gate reproduzível e confiável antes de perseguir um número alto de cobertura.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20"/>
        <w:gridCol w:w="1800"/>
        <w:gridCol w:w="3240"/>
        <w:gridCol w:w="1000"/>
        <w:gridCol w:w="2600"/>
      </w:tblGrid>
      <w:tr>
        <w:trPr>
          <w:tblHeader w:val="true"/>
        </w:trPr>
        <w:tc>
          <w:tcPr>
            <w:tcW w:type="dxa" w:w="720"/>
            <w:vAlign w:val="center"/>
            <w:shd w:fill="F2F4F7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63A5F"/>
                <w:sz w:val="16"/>
              </w:rPr>
              <w:t>Prioridade</w:t>
            </w:r>
          </w:p>
        </w:tc>
        <w:tc>
          <w:tcPr>
            <w:tcW w:type="dxa" w:w="1800"/>
            <w:vAlign w:val="center"/>
            <w:shd w:fill="F2F4F7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63A5F"/>
                <w:sz w:val="16"/>
              </w:rPr>
              <w:t>Iniciativa</w:t>
            </w:r>
          </w:p>
        </w:tc>
        <w:tc>
          <w:tcPr>
            <w:tcW w:type="dxa" w:w="3240"/>
            <w:vAlign w:val="center"/>
            <w:shd w:fill="F2F4F7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63A5F"/>
                <w:sz w:val="16"/>
              </w:rPr>
              <w:t>Entrega esperada</w:t>
            </w:r>
          </w:p>
        </w:tc>
        <w:tc>
          <w:tcPr>
            <w:tcW w:type="dxa" w:w="1000"/>
            <w:vAlign w:val="center"/>
            <w:shd w:fill="F2F4F7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163A5F"/>
                <w:sz w:val="18"/>
              </w:rPr>
              <w:t>Situação</w:t>
            </w:r>
          </w:p>
        </w:tc>
        <w:tc>
          <w:tcPr>
            <w:tcW w:type="dxa" w:w="2600"/>
            <w:vAlign w:val="center"/>
            <w:shd w:fill="F2F4F7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63A5F"/>
                <w:sz w:val="16"/>
              </w:rPr>
              <w:t>Critério de aceite</w:t>
            </w:r>
          </w:p>
        </w:tc>
      </w:tr>
      <w:tr>
        <w:trPr/>
        <w:tc>
          <w:tcPr>
            <w:tcW w:type="dxa" w:w="72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P0</w:t>
            </w:r>
          </w:p>
        </w:tc>
        <w:tc>
          <w:tcPr>
            <w:tcW w:type="dxa" w:w="180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Banco de integração descartável</w:t>
            </w:r>
          </w:p>
        </w:tc>
        <w:tc>
          <w:tcPr>
            <w:tcW w:type="dxa" w:w="324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PostgreSQL isolado em CI, migrations aplicadas e teardown automático.</w:t>
            </w:r>
          </w:p>
        </w:tc>
        <w:tc>
          <w:tcPr>
            <w:tcW w:type="dxa" w:w="100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Implementado no CI; validação remota pendente</w:t>
            </w:r>
          </w:p>
        </w:tc>
        <w:tc>
          <w:tcPr>
            <w:tcW w:type="dxa" w:w="260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Suíte integrada executa sem usar banco da aplicação e sem testes ignorados por ausência de DB.</w:t>
            </w:r>
          </w:p>
        </w:tc>
      </w:tr>
      <w:tr>
        <w:trPr/>
        <w:tc>
          <w:tcPr>
            <w:tcW w:type="dxa" w:w="72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P0</w:t>
            </w:r>
          </w:p>
        </w:tc>
        <w:tc>
          <w:tcPr>
            <w:tcW w:type="dxa" w:w="180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Gate único e cobertura global</w:t>
            </w:r>
          </w:p>
        </w:tc>
        <w:tc>
          <w:tcPr>
            <w:tcW w:type="dxa" w:w="324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Script que reúne unidades + integração e publica cobertura por arquivo.</w:t>
            </w:r>
          </w:p>
        </w:tc>
        <w:tc>
          <w:tcPr>
            <w:tcW w:type="dxa" w:w="100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Implementado e aprovado localmente</w:t>
            </w:r>
          </w:p>
        </w:tc>
        <w:tc>
          <w:tcPr>
            <w:tcW w:type="dxa" w:w="260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Falha se linha/branch cair abaixo do baseline acordado; artefato publicado por execução.</w:t>
            </w:r>
          </w:p>
        </w:tc>
      </w:tr>
      <w:tr>
        <w:trPr/>
        <w:tc>
          <w:tcPr>
            <w:tcW w:type="dxa" w:w="72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P0</w:t>
            </w:r>
          </w:p>
        </w:tc>
        <w:tc>
          <w:tcPr>
            <w:tcW w:type="dxa" w:w="180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Rotas críticas sem teste</w:t>
            </w:r>
          </w:p>
        </w:tc>
        <w:tc>
          <w:tcPr>
            <w:tcW w:type="dxa" w:w="324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Testes de Application v2, catálogo/imports e dicionário.</w:t>
            </w:r>
          </w:p>
        </w:tc>
        <w:tc>
          <w:tcPr>
            <w:tcW w:type="dxa" w:w="100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Parcial: validações/rollback cobertos</w:t>
            </w:r>
          </w:p>
        </w:tc>
        <w:tc>
          <w:tcPr>
            <w:tcW w:type="dxa" w:w="260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Cada rota crítica com sucesso, validação, RBAC e falha transacional.</w:t>
            </w:r>
          </w:p>
        </w:tc>
      </w:tr>
      <w:tr>
        <w:trPr/>
        <w:tc>
          <w:tcPr>
            <w:tcW w:type="dxa" w:w="72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P0</w:t>
            </w:r>
          </w:p>
        </w:tc>
        <w:tc>
          <w:tcPr>
            <w:tcW w:type="dxa" w:w="180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Jornadas E2E</w:t>
            </w:r>
          </w:p>
        </w:tc>
        <w:tc>
          <w:tcPr>
            <w:tcW w:type="dxa" w:w="324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Login, criação/validação de checklist, administração de catálogo e download de PDF.</w:t>
            </w:r>
          </w:p>
        </w:tc>
        <w:tc>
          <w:tcPr>
            <w:tcW w:type="dxa" w:w="100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Pendente</w:t>
            </w:r>
          </w:p>
        </w:tc>
        <w:tc>
          <w:tcPr>
            <w:tcW w:type="dxa" w:w="260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Execução headless estável em ambiente efêmero, com evidência de falha clara.</w:t>
            </w:r>
          </w:p>
        </w:tc>
      </w:tr>
      <w:tr>
        <w:trPr/>
        <w:tc>
          <w:tcPr>
            <w:tcW w:type="dxa" w:w="72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P1</w:t>
            </w:r>
          </w:p>
        </w:tc>
        <w:tc>
          <w:tcPr>
            <w:tcW w:type="dxa" w:w="180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Frontend unitário/componente</w:t>
            </w:r>
          </w:p>
        </w:tc>
        <w:tc>
          <w:tcPr>
            <w:tcW w:type="dxa" w:w="324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Testes de páginas, componentes, `AuthContext`, serviços e rotas protegidas.</w:t>
            </w:r>
          </w:p>
        </w:tc>
        <w:tc>
          <w:tcPr>
            <w:tcW w:type="dxa" w:w="100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Inicial: 6 testes de utilitários</w:t>
            </w:r>
          </w:p>
        </w:tc>
        <w:tc>
          <w:tcPr>
            <w:tcW w:type="dxa" w:w="260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Estados loading/sucesso/erro e permissões exercitados; cobertura publicada separadamente.</w:t>
            </w:r>
          </w:p>
        </w:tc>
      </w:tr>
      <w:tr>
        <w:trPr/>
        <w:tc>
          <w:tcPr>
            <w:tcW w:type="dxa" w:w="72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P1</w:t>
            </w:r>
          </w:p>
        </w:tc>
        <w:tc>
          <w:tcPr>
            <w:tcW w:type="dxa" w:w="180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Contratos da IA</w:t>
            </w:r>
          </w:p>
        </w:tc>
        <w:tc>
          <w:tcPr>
            <w:tcW w:type="dxa" w:w="324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Mocks para modelos, preferências, timeout, erro HTTP e payload inválido.</w:t>
            </w:r>
          </w:p>
        </w:tc>
        <w:tc>
          <w:tcPr>
            <w:tcW w:type="dxa" w:w="100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Pendente</w:t>
            </w:r>
          </w:p>
        </w:tc>
        <w:tc>
          <w:tcPr>
            <w:tcW w:type="dxa" w:w="260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Nenhum teste automatizado depende de resposta real do provedor.</w:t>
            </w:r>
          </w:p>
        </w:tc>
      </w:tr>
      <w:tr>
        <w:trPr/>
        <w:tc>
          <w:tcPr>
            <w:tcW w:type="dxa" w:w="72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P1</w:t>
            </w:r>
          </w:p>
        </w:tc>
        <w:tc>
          <w:tcPr>
            <w:tcW w:type="dxa" w:w="180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Regressão de migrations</w:t>
            </w:r>
          </w:p>
        </w:tc>
        <w:tc>
          <w:tcPr>
            <w:tcW w:type="dxa" w:w="324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Criação do schema do zero e upgrade de baseline suportada.</w:t>
            </w:r>
          </w:p>
        </w:tc>
        <w:tc>
          <w:tcPr>
            <w:tcW w:type="dxa" w:w="100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Preparado no CI</w:t>
            </w:r>
          </w:p>
        </w:tc>
        <w:tc>
          <w:tcPr>
            <w:tcW w:type="dxa" w:w="260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Migrações reproduzíveis e preservação de dados críticos comprovada.</w:t>
            </w:r>
          </w:p>
        </w:tc>
      </w:tr>
      <w:tr>
        <w:trPr/>
        <w:tc>
          <w:tcPr>
            <w:tcW w:type="dxa" w:w="72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P2</w:t>
            </w:r>
          </w:p>
        </w:tc>
        <w:tc>
          <w:tcPr>
            <w:tcW w:type="dxa" w:w="180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Qualidade não funcional</w:t>
            </w:r>
          </w:p>
        </w:tc>
        <w:tc>
          <w:tcPr>
            <w:tcW w:type="dxa" w:w="324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Acessibilidade, desempenho, segurança automatizada e observabilidade.</w:t>
            </w:r>
          </w:p>
        </w:tc>
        <w:tc>
          <w:tcPr>
            <w:tcW w:type="dxa" w:w="100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Parcial: auditoria crítica ativa</w:t>
            </w:r>
          </w:p>
        </w:tc>
        <w:tc>
          <w:tcPr>
            <w:tcW w:type="dxa" w:w="260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Orçamentos e gates definidos para cada dimensão.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Metas sugeridas</w:t>
      </w:r>
    </w:p>
    <w:p>
      <w:pPr>
        <w:pStyle w:val="ListBullet"/>
        <w:spacing w:after="160" w:line="280" w:lineRule="auto"/>
      </w:pPr>
      <w:r>
        <w:rPr>
          <w:rFonts w:ascii="Calibri" w:hAnsi="Calibri"/>
          <w:color w:val="000000"/>
          <w:sz w:val="22"/>
        </w:rPr>
        <w:t>Backend crítico: pelo menos 85% de linhas e 75% de branches, medidos sobre todo o código de produção carregável.</w:t>
      </w:r>
    </w:p>
    <w:p>
      <w:pPr>
        <w:pStyle w:val="ListBullet"/>
        <w:spacing w:after="160" w:line="280" w:lineRule="auto"/>
      </w:pPr>
      <w:r>
        <w:rPr>
          <w:rFonts w:ascii="Calibri" w:hAnsi="Calibri"/>
          <w:color w:val="000000"/>
          <w:sz w:val="22"/>
        </w:rPr>
        <w:t>Rotas P0: 100% com caminho feliz, autenticação, autorização, validação, ownership e falha de persistência.</w:t>
      </w:r>
    </w:p>
    <w:p>
      <w:pPr>
        <w:pStyle w:val="ListBullet"/>
        <w:spacing w:after="160" w:line="280" w:lineRule="auto"/>
      </w:pPr>
      <w:r>
        <w:rPr>
          <w:rFonts w:ascii="Calibri" w:hAnsi="Calibri"/>
          <w:color w:val="000000"/>
          <w:sz w:val="22"/>
        </w:rPr>
        <w:t>Frontend crítico: jornadas E2E de login, checklist, administração e PDF; testes de componente para estados alternativos.</w:t>
      </w:r>
    </w:p>
    <w:p>
      <w:pPr>
        <w:pStyle w:val="ListBullet"/>
        <w:spacing w:after="160" w:line="280" w:lineRule="auto"/>
      </w:pPr>
      <w:r>
        <w:rPr>
          <w:rFonts w:ascii="Calibri" w:hAnsi="Calibri"/>
          <w:color w:val="000000"/>
          <w:sz w:val="22"/>
        </w:rPr>
        <w:t>Estabilidade: zero teste ignorado por infraestrutura no branch principal e taxa de flakiness inferior a 1%.</w:t>
      </w:r>
    </w:p>
    <w:p>
      <w:pPr>
        <w:pStyle w:val="ListBullet"/>
        <w:spacing w:after="160" w:line="280" w:lineRule="auto"/>
      </w:pPr>
      <w:r>
        <w:rPr>
          <w:rFonts w:ascii="Calibri" w:hAnsi="Calibri"/>
          <w:color w:val="000000"/>
          <w:sz w:val="22"/>
        </w:rPr>
        <w:t>Governança: relatório de cobertura versionado por pipeline e revisão trimestral desta matriz.</w:t>
      </w:r>
    </w:p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Pipeline de referência</w:t>
      </w:r>
    </w:p>
    <w:p>
      <w:pPr>
        <w:pStyle w:val="ListNumber"/>
        <w:spacing w:after="160" w:line="280" w:lineRule="auto"/>
      </w:pPr>
      <w:r>
        <w:rPr>
          <w:rFonts w:ascii="Calibri" w:hAnsi="Calibri"/>
          <w:color w:val="000000"/>
          <w:sz w:val="22"/>
        </w:rPr>
        <w:t>Instalar dependências de forma reprodutível e validar TypeScript.</w:t>
      </w:r>
    </w:p>
    <w:p>
      <w:pPr>
        <w:pStyle w:val="ListNumber"/>
        <w:spacing w:after="160" w:line="280" w:lineRule="auto"/>
      </w:pPr>
      <w:r>
        <w:rPr>
          <w:rFonts w:ascii="Calibri" w:hAnsi="Calibri"/>
          <w:color w:val="000000"/>
          <w:sz w:val="22"/>
        </w:rPr>
        <w:t>Compilar frontend e backend; tratar aumento de bundle como orçamento mensurável.</w:t>
      </w:r>
    </w:p>
    <w:p>
      <w:pPr>
        <w:pStyle w:val="ListNumber"/>
        <w:spacing w:after="160" w:line="280" w:lineRule="auto"/>
      </w:pPr>
      <w:r>
        <w:rPr>
          <w:rFonts w:ascii="Calibri" w:hAnsi="Calibri"/>
          <w:color w:val="000000"/>
          <w:sz w:val="22"/>
        </w:rPr>
        <w:t>Subir PostgreSQL efêmero, aplicar migrations e executar teste de schema protegido.</w:t>
      </w:r>
    </w:p>
    <w:p>
      <w:pPr>
        <w:pStyle w:val="ListNumber"/>
        <w:spacing w:after="160" w:line="280" w:lineRule="auto"/>
      </w:pPr>
      <w:r>
        <w:rPr>
          <w:rFonts w:ascii="Calibri" w:hAnsi="Calibri"/>
          <w:color w:val="000000"/>
          <w:sz w:val="22"/>
        </w:rPr>
        <w:t>Executar testes unitários e de integração com cobertura consolidada.</w:t>
      </w:r>
    </w:p>
    <w:p>
      <w:pPr>
        <w:pStyle w:val="ListNumber"/>
        <w:spacing w:after="160" w:line="280" w:lineRule="auto"/>
      </w:pPr>
      <w:r>
        <w:rPr>
          <w:rFonts w:ascii="Calibri" w:hAnsi="Calibri"/>
          <w:color w:val="000000"/>
          <w:sz w:val="22"/>
        </w:rPr>
        <w:t>Executar smoke E2E das jornadas críticas em aplicação implantada localmente.</w:t>
      </w:r>
    </w:p>
    <w:p>
      <w:pPr>
        <w:pStyle w:val="ListNumber"/>
        <w:spacing w:after="160" w:line="280" w:lineRule="auto"/>
      </w:pPr>
      <w:r>
        <w:rPr>
          <w:rFonts w:ascii="Calibri" w:hAnsi="Calibri"/>
          <w:color w:val="000000"/>
          <w:sz w:val="22"/>
        </w:rPr>
        <w:t>Publicar resultados, cobertura, logs e evidências; bloquear merge quando critérios P0 falharem.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Critérios de entrada e saída</w:t>
      </w:r>
    </w:p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Entrada para ciclo de testes</w:t>
      </w:r>
    </w:p>
    <w:p>
      <w:pPr>
        <w:pStyle w:val="ListBullet"/>
        <w:spacing w:after="160" w:line="280" w:lineRule="auto"/>
      </w:pPr>
      <w:r>
        <w:rPr>
          <w:rFonts w:ascii="Calibri" w:hAnsi="Calibri"/>
          <w:color w:val="000000"/>
          <w:sz w:val="22"/>
        </w:rPr>
        <w:t>Código compilável, migrations versionadas e variáveis de teste documentadas.</w:t>
      </w:r>
    </w:p>
    <w:p>
      <w:pPr>
        <w:pStyle w:val="ListBullet"/>
        <w:spacing w:after="160" w:line="280" w:lineRule="auto"/>
      </w:pPr>
      <w:r>
        <w:rPr>
          <w:rFonts w:ascii="Calibri" w:hAnsi="Calibri"/>
          <w:color w:val="000000"/>
          <w:sz w:val="22"/>
        </w:rPr>
        <w:t>Banco e credenciais exclusivamente de teste, sem fallback para produção/desenvolvimento.</w:t>
      </w:r>
    </w:p>
    <w:p>
      <w:pPr>
        <w:pStyle w:val="ListBullet"/>
        <w:spacing w:after="160" w:line="280" w:lineRule="auto"/>
      </w:pPr>
      <w:r>
        <w:rPr>
          <w:rFonts w:ascii="Calibri" w:hAnsi="Calibri"/>
          <w:color w:val="000000"/>
          <w:sz w:val="22"/>
        </w:rPr>
        <w:t>Mocks/fixtures determinísticos para IA e dados sensíveis anonimizados.</w:t>
      </w:r>
    </w:p>
    <w:p>
      <w:pPr>
        <w:pStyle w:val="ListBullet"/>
        <w:spacing w:after="160" w:line="280" w:lineRule="auto"/>
      </w:pPr>
      <w:r>
        <w:rPr>
          <w:rFonts w:ascii="Calibri" w:hAnsi="Calibri"/>
          <w:color w:val="000000"/>
          <w:sz w:val="22"/>
        </w:rPr>
        <w:t>Histórias/requisitos com critérios de aceite e classificação de risco.</w:t>
      </w:r>
    </w:p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Saída para release</w:t>
      </w:r>
    </w:p>
    <w:p>
      <w:pPr>
        <w:pStyle w:val="ListBullet"/>
        <w:spacing w:after="160" w:line="280" w:lineRule="auto"/>
      </w:pPr>
      <w:r>
        <w:rPr>
          <w:rFonts w:ascii="Calibri" w:hAnsi="Calibri"/>
          <w:color w:val="000000"/>
          <w:sz w:val="22"/>
        </w:rPr>
        <w:t>Gate de TypeScript, builds, unitários, integração e E2E aprovado.</w:t>
      </w:r>
    </w:p>
    <w:p>
      <w:pPr>
        <w:pStyle w:val="ListBullet"/>
        <w:spacing w:after="160" w:line="280" w:lineRule="auto"/>
      </w:pPr>
      <w:r>
        <w:rPr>
          <w:rFonts w:ascii="Calibri" w:hAnsi="Calibri"/>
          <w:color w:val="000000"/>
          <w:sz w:val="22"/>
        </w:rPr>
        <w:t>Nenhuma falha P0/P1 aberta e nenhum teste crítico ignorado.</w:t>
      </w:r>
    </w:p>
    <w:p>
      <w:pPr>
        <w:pStyle w:val="ListBullet"/>
        <w:spacing w:after="160" w:line="280" w:lineRule="auto"/>
      </w:pPr>
      <w:r>
        <w:rPr>
          <w:rFonts w:ascii="Calibri" w:hAnsi="Calibri"/>
          <w:color w:val="000000"/>
          <w:sz w:val="22"/>
        </w:rPr>
        <w:t>Cobertura não inferior ao baseline e sem queda injustificada nos módulos alterados.</w:t>
      </w:r>
    </w:p>
    <w:p>
      <w:pPr>
        <w:pStyle w:val="ListBullet"/>
        <w:spacing w:after="160" w:line="280" w:lineRule="auto"/>
      </w:pPr>
      <w:r>
        <w:rPr>
          <w:rFonts w:ascii="Calibri" w:hAnsi="Calibri"/>
          <w:color w:val="000000"/>
          <w:sz w:val="22"/>
        </w:rPr>
        <w:t>Migrations validadas do zero e em cenário de atualização suportado.</w:t>
      </w:r>
    </w:p>
    <w:p>
      <w:pPr>
        <w:pStyle w:val="ListBullet"/>
        <w:spacing w:after="160" w:line="280" w:lineRule="auto"/>
      </w:pPr>
      <w:r>
        <w:rPr>
          <w:rFonts w:ascii="Calibri" w:hAnsi="Calibri"/>
          <w:color w:val="000000"/>
          <w:sz w:val="22"/>
        </w:rPr>
        <w:t>Evidências publicadas e riscos residuais formalmente aceitos.</w:t>
      </w:r>
    </w:p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Responsabilidades sugeridas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vAlign w:val="center"/>
            <w:shd w:fill="F2F4F7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63A5F"/>
                <w:sz w:val="18"/>
              </w:rPr>
              <w:t>Papel</w:t>
            </w:r>
          </w:p>
        </w:tc>
        <w:tc>
          <w:tcPr>
            <w:tcW w:type="dxa" w:w="7160"/>
            <w:vAlign w:val="center"/>
            <w:shd w:fill="F2F4F7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63A5F"/>
                <w:sz w:val="18"/>
              </w:rPr>
              <w:t>Responsabilidade</w:t>
            </w:r>
          </w:p>
        </w:tc>
      </w:tr>
      <w:tr>
        <w:trPr/>
        <w:tc>
          <w:tcPr>
            <w:tcW w:type="dxa" w:w="220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Desenvolvimento</w:t>
            </w:r>
          </w:p>
        </w:tc>
        <w:tc>
          <w:tcPr>
            <w:tcW w:type="dxa" w:w="716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Manter testes próximos às mudanças, fixtures determinísticas e correção imediata do gate.</w:t>
            </w:r>
          </w:p>
        </w:tc>
      </w:tr>
      <w:tr>
        <w:trPr/>
        <w:tc>
          <w:tcPr>
            <w:tcW w:type="dxa" w:w="220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Qualidade</w:t>
            </w:r>
          </w:p>
        </w:tc>
        <w:tc>
          <w:tcPr>
            <w:tcW w:type="dxa" w:w="716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Manter matriz de risco, E2E, dados de teste e análise de flakiness.</w:t>
            </w:r>
          </w:p>
        </w:tc>
      </w:tr>
      <w:tr>
        <w:trPr/>
        <w:tc>
          <w:tcPr>
            <w:tcW w:type="dxa" w:w="220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DevOps/Plataforma</w:t>
            </w:r>
          </w:p>
        </w:tc>
        <w:tc>
          <w:tcPr>
            <w:tcW w:type="dxa" w:w="716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Fornecer banco efêmero, pipeline, artefatos e retenção de evidências.</w:t>
            </w:r>
          </w:p>
        </w:tc>
      </w:tr>
      <w:tr>
        <w:trPr/>
        <w:tc>
          <w:tcPr>
            <w:tcW w:type="dxa" w:w="220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Segurança</w:t>
            </w:r>
          </w:p>
        </w:tc>
        <w:tc>
          <w:tcPr>
            <w:tcW w:type="dxa" w:w="716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Definir casos abusivos, gates SAST/dependências e revisão de dados sensíveis.</w:t>
            </w:r>
          </w:p>
        </w:tc>
      </w:tr>
      <w:tr>
        <w:trPr/>
        <w:tc>
          <w:tcPr>
            <w:tcW w:type="dxa" w:w="220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Produto/Negócio</w:t>
            </w:r>
          </w:p>
        </w:tc>
        <w:tc>
          <w:tcPr>
            <w:tcW w:type="dxa" w:w="716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Validar jornadas críticas, critérios de aceite e riscos residuais.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Rastreabilidade e manutenção</w:t>
      </w:r>
    </w:p>
    <w:p>
      <w:pPr>
        <w:spacing w:before="0" w:after="120" w:line="264" w:lineRule="auto"/>
      </w:pPr>
      <w:r>
        <w:rPr>
          <w:rFonts w:ascii="Calibri" w:hAnsi="Calibri"/>
          <w:i w:val="0"/>
          <w:color w:val="000000"/>
          <w:sz w:val="22"/>
        </w:rPr>
        <w:t>Este documento deve ser atualizado sempre que uma nova capacidade crítica, rota, migration ou integração externa for incorporada. Recomenda-se vincular cada iniciativa P0/P1 a casos de teste identificáveis e registrar a execução no pipeline de entrega.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Apêndice: artefatos e comandos</w:t>
      </w:r>
    </w:p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Arquivos de teste identificados</w:t>
      </w:r>
    </w:p>
    <w:p>
      <w:pPr>
        <w:pStyle w:val="ListBullet"/>
        <w:spacing w:after="160" w:line="280" w:lineRule="auto"/>
      </w:pPr>
      <w:r>
        <w:rPr>
          <w:rFonts w:ascii="Calibri" w:hAnsi="Calibri"/>
          <w:color w:val="000000"/>
          <w:sz w:val="22"/>
        </w:rPr>
        <w:t>server/tests/auth_cycle.test.ts</w:t>
      </w:r>
    </w:p>
    <w:p>
      <w:pPr>
        <w:pStyle w:val="ListBullet"/>
        <w:spacing w:after="160" w:line="280" w:lineRule="auto"/>
      </w:pPr>
      <w:r>
        <w:rPr>
          <w:rFonts w:ascii="Calibri" w:hAnsi="Calibri"/>
          <w:color w:val="000000"/>
          <w:sz w:val="22"/>
        </w:rPr>
        <w:t>server/tests/chat_persistence.test.ts</w:t>
      </w:r>
    </w:p>
    <w:p>
      <w:pPr>
        <w:pStyle w:val="ListBullet"/>
        <w:spacing w:after="160" w:line="280" w:lineRule="auto"/>
      </w:pPr>
      <w:r>
        <w:rPr>
          <w:rFonts w:ascii="Calibri" w:hAnsi="Calibri"/>
          <w:color w:val="000000"/>
          <w:sz w:val="22"/>
        </w:rPr>
        <w:t>server/tests/checklist_schema_v2.test.ts</w:t>
      </w:r>
    </w:p>
    <w:p>
      <w:pPr>
        <w:pStyle w:val="ListBullet"/>
        <w:spacing w:after="160" w:line="280" w:lineRule="auto"/>
      </w:pPr>
      <w:r>
        <w:rPr>
          <w:rFonts w:ascii="Calibri" w:hAnsi="Calibri"/>
          <w:color w:val="000000"/>
          <w:sz w:val="22"/>
        </w:rPr>
        <w:t>server/tests/checklist_security.test.ts</w:t>
      </w:r>
    </w:p>
    <w:p>
      <w:pPr>
        <w:pStyle w:val="ListBullet"/>
        <w:spacing w:after="160" w:line="280" w:lineRule="auto"/>
      </w:pPr>
      <w:r>
        <w:rPr>
          <w:rFonts w:ascii="Calibri" w:hAnsi="Calibri"/>
          <w:color w:val="000000"/>
          <w:sz w:val="22"/>
        </w:rPr>
        <w:t>server/tests/interaction.test.ts</w:t>
      </w:r>
    </w:p>
    <w:p>
      <w:pPr>
        <w:pStyle w:val="ListBullet"/>
        <w:spacing w:after="160" w:line="280" w:lineRule="auto"/>
      </w:pPr>
      <w:r>
        <w:rPr>
          <w:rFonts w:ascii="Calibri" w:hAnsi="Calibri"/>
          <w:color w:val="000000"/>
          <w:sz w:val="22"/>
        </w:rPr>
        <w:t>server/tests/jobs.test.ts</w:t>
      </w:r>
    </w:p>
    <w:p>
      <w:pPr>
        <w:pStyle w:val="ListBullet"/>
        <w:spacing w:after="160" w:line="280" w:lineRule="auto"/>
      </w:pPr>
      <w:r>
        <w:rPr>
          <w:rFonts w:ascii="Calibri" w:hAnsi="Calibri"/>
          <w:color w:val="000000"/>
          <w:sz w:val="22"/>
        </w:rPr>
        <w:t>server/tests/knowledge_integration.test.ts</w:t>
      </w:r>
    </w:p>
    <w:p>
      <w:pPr>
        <w:pStyle w:val="ListBullet"/>
        <w:spacing w:after="160" w:line="280" w:lineRule="auto"/>
      </w:pPr>
      <w:r>
        <w:rPr>
          <w:rFonts w:ascii="Calibri" w:hAnsi="Calibri"/>
          <w:color w:val="000000"/>
          <w:sz w:val="22"/>
        </w:rPr>
        <w:t>server/tests/migrationSafety.test.ts</w:t>
      </w:r>
    </w:p>
    <w:p>
      <w:pPr>
        <w:pStyle w:val="ListBullet"/>
        <w:spacing w:after="160" w:line="280" w:lineRule="auto"/>
      </w:pPr>
      <w:r>
        <w:rPr>
          <w:rFonts w:ascii="Calibri" w:hAnsi="Calibri"/>
          <w:color w:val="000000"/>
          <w:sz w:val="22"/>
        </w:rPr>
        <w:t>server/tests/norms_applicability.unit.test.ts</w:t>
      </w:r>
    </w:p>
    <w:p>
      <w:pPr>
        <w:pStyle w:val="ListBullet"/>
        <w:spacing w:after="160" w:line="280" w:lineRule="auto"/>
      </w:pPr>
      <w:r>
        <w:rPr>
          <w:rFonts w:ascii="Calibri" w:hAnsi="Calibri"/>
          <w:color w:val="000000"/>
          <w:sz w:val="22"/>
        </w:rPr>
        <w:t>server/tests/pdf-renderer.test.ts</w:t>
      </w:r>
    </w:p>
    <w:p>
      <w:pPr>
        <w:pStyle w:val="ListBullet"/>
        <w:spacing w:after="160" w:line="280" w:lineRule="auto"/>
      </w:pPr>
      <w:r>
        <w:rPr>
          <w:rFonts w:ascii="Calibri" w:hAnsi="Calibri"/>
          <w:color w:val="000000"/>
          <w:sz w:val="22"/>
        </w:rPr>
        <w:t>server/tests/pdf.test.ts</w:t>
      </w:r>
    </w:p>
    <w:p>
      <w:pPr>
        <w:pStyle w:val="ListBullet"/>
        <w:spacing w:after="160" w:line="280" w:lineRule="auto"/>
      </w:pPr>
      <w:r>
        <w:rPr>
          <w:rFonts w:ascii="Calibri" w:hAnsi="Calibri"/>
          <w:color w:val="000000"/>
          <w:sz w:val="22"/>
        </w:rPr>
        <w:t>server/tests/rbac.test.ts</w:t>
      </w:r>
    </w:p>
    <w:p>
      <w:pPr>
        <w:pStyle w:val="ListBullet"/>
        <w:spacing w:after="160" w:line="280" w:lineRule="auto"/>
      </w:pPr>
      <w:r>
        <w:rPr>
          <w:rFonts w:ascii="Calibri" w:hAnsi="Calibri"/>
          <w:color w:val="000000"/>
          <w:sz w:val="22"/>
        </w:rPr>
        <w:t>server/tests/schema.test.ts</w:t>
      </w:r>
    </w:p>
    <w:p>
      <w:pPr>
        <w:pStyle w:val="ListBullet"/>
        <w:spacing w:after="160" w:line="280" w:lineRule="auto"/>
      </w:pPr>
      <w:r>
        <w:rPr>
          <w:rFonts w:ascii="Calibri" w:hAnsi="Calibri"/>
          <w:color w:val="000000"/>
          <w:sz w:val="22"/>
        </w:rPr>
        <w:t>server/tests/system_prompts.test.ts</w:t>
      </w:r>
    </w:p>
    <w:p>
      <w:pPr>
        <w:pStyle w:val="ListBullet"/>
        <w:spacing w:after="160" w:line="280" w:lineRule="auto"/>
      </w:pPr>
      <w:r>
        <w:rPr>
          <w:rFonts w:ascii="Calibri" w:hAnsi="Calibri"/>
          <w:color w:val="000000"/>
          <w:sz w:val="22"/>
        </w:rPr>
        <w:t>server/tests/validation.test.ts</w:t>
      </w:r>
    </w:p>
    <w:p>
      <w:pPr>
        <w:pStyle w:val="ListBullet"/>
        <w:spacing w:after="160" w:line="280" w:lineRule="auto"/>
      </w:pPr>
      <w:r>
        <w:rPr>
          <w:rFonts w:ascii="Calibri" w:hAnsi="Calibri"/>
          <w:color w:val="000000"/>
          <w:sz w:val="22"/>
        </w:rPr>
        <w:t>src/utils/validationPresentation.test.ts</w:t>
      </w:r>
    </w:p>
    <w:p>
      <w:pPr>
        <w:pStyle w:val="ListBullet"/>
        <w:spacing w:after="160"/>
      </w:pPr>
      <w:r>
        <w:rPr>
          <w:rFonts w:ascii="Calibri" w:hAnsi="Calibri"/>
          <w:b w:val="0"/>
          <w:color w:val="000000"/>
          <w:sz w:val="22"/>
        </w:rPr>
        <w:t>server/tests/critical_routes.unit.test.ts</w:t>
      </w:r>
    </w:p>
    <w:p>
      <w:pPr>
        <w:pStyle w:val="ListBullet"/>
        <w:spacing w:after="160"/>
      </w:pPr>
      <w:r>
        <w:rPr>
          <w:rFonts w:ascii="Calibri" w:hAnsi="Calibri"/>
          <w:b w:val="0"/>
          <w:color w:val="000000"/>
          <w:sz w:val="22"/>
        </w:rPr>
        <w:t>src/utils/commandBuilder.test.ts</w:t>
      </w:r>
    </w:p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Comandos analisados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800"/>
        <w:gridCol w:w="6560"/>
      </w:tblGrid>
      <w:tr>
        <w:trPr>
          <w:tblHeader w:val="true"/>
        </w:trPr>
        <w:tc>
          <w:tcPr>
            <w:tcW w:type="dxa" w:w="2800"/>
            <w:vAlign w:val="center"/>
            <w:shd w:fill="F2F4F7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163A5F"/>
                <w:sz w:val="18"/>
              </w:rPr>
              <w:t>Comando</w:t>
            </w:r>
          </w:p>
        </w:tc>
        <w:tc>
          <w:tcPr>
            <w:tcW w:type="dxa" w:w="6560"/>
            <w:vAlign w:val="center"/>
            <w:shd w:fill="F2F4F7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163A5F"/>
                <w:sz w:val="18"/>
              </w:rPr>
              <w:t>Finalidade</w:t>
            </w:r>
          </w:p>
        </w:tc>
      </w:tr>
      <w:tr>
        <w:trPr/>
        <w:tc>
          <w:tcPr>
            <w:tcW w:type="dxa" w:w="280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npm test</w:t>
            </w:r>
          </w:p>
        </w:tc>
        <w:tc>
          <w:tcPr>
            <w:tcW w:type="dxa" w:w="656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Gate rápido ampliado com unidades e rotas críticas sem banco real.</w:t>
            </w:r>
          </w:p>
        </w:tc>
      </w:tr>
      <w:tr>
        <w:trPr/>
        <w:tc>
          <w:tcPr>
            <w:tcW w:type="dxa" w:w="280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npm run test:coverage</w:t>
            </w:r>
          </w:p>
        </w:tc>
        <w:tc>
          <w:tcPr>
            <w:tcW w:type="dxa" w:w="656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Cobertura global c8 --all com baseline bloqueante.</w:t>
            </w:r>
          </w:p>
        </w:tc>
      </w:tr>
      <w:tr>
        <w:trPr/>
        <w:tc>
          <w:tcPr>
            <w:tcW w:type="dxa" w:w="280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npm run test:integration</w:t>
            </w:r>
          </w:p>
        </w:tc>
        <w:tc>
          <w:tcPr>
            <w:tcW w:type="dxa" w:w="656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Suíte integrada que exige `DATABASE_URL_TEST`.</w:t>
            </w:r>
          </w:p>
        </w:tc>
      </w:tr>
      <w:tr>
        <w:trPr/>
        <w:tc>
          <w:tcPr>
            <w:tcW w:type="dxa" w:w="280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npm run test:schema</w:t>
            </w:r>
          </w:p>
        </w:tc>
        <w:tc>
          <w:tcPr>
            <w:tcW w:type="dxa" w:w="656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Validação destrutiva protegida do schema em banco dedicado.</w:t>
            </w:r>
          </w:p>
        </w:tc>
      </w:tr>
      <w:tr>
        <w:trPr/>
        <w:tc>
          <w:tcPr>
            <w:tcW w:type="dxa" w:w="280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npm run lint / build / build:server</w:t>
            </w:r>
          </w:p>
        </w:tc>
        <w:tc>
          <w:tcPr>
            <w:tcW w:type="dxa" w:w="656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TypeScript e builds de produção.</w:t>
            </w:r>
          </w:p>
        </w:tc>
      </w:tr>
      <w:tr>
        <w:trPr/>
        <w:tc>
          <w:tcPr>
            <w:tcW w:type="dxa" w:w="280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npm audit --omit=dev --audit-level=critical</w:t>
            </w:r>
          </w:p>
        </w:tc>
        <w:tc>
          <w:tcPr>
            <w:tcW w:type="dxa" w:w="6560"/>
            <w:vAlign w:val="center"/>
            <w:tcBorders>
              <w:top w:val="single" w:sz="4" w:color="D7DDE5"/>
              <w:left w:val="single" w:sz="4" w:color="D7DDE5"/>
              <w:bottom w:val="single" w:sz="4" w:color="D7DDE5"/>
              <w:right w:val="single" w:sz="4" w:color="D7DDE5"/>
              <w:insideH w:val="single" w:sz="4" w:color="D7DDE5"/>
              <w:insideV w:val="single" w:sz="4" w:color="D7DDE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Bloqueio de vulnerabilidades críticas no pipeline.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Fontes técnicas</w:t>
      </w:r>
    </w:p>
    <w:p>
      <w:pPr>
        <w:spacing w:before="0" w:after="120" w:line="264" w:lineRule="auto"/>
      </w:pPr>
      <w:r>
        <w:rPr>
          <w:rFonts w:ascii="Calibri" w:hAnsi="Calibri"/>
          <w:b w:val="0"/>
          <w:color w:val="000000"/>
          <w:sz w:val="22"/>
        </w:rPr>
        <w:t>`package.json`, `package-lock.json`, `README.md`, `.github/workflows/test.yml`, `server/routes/*`, `server/services/*`, `server/schemas/*`, `server/tests/*`, `src/**/*test.ts` e `migrations/*`.</w:t>
      </w:r>
    </w:p>
    <w:p>
      <w:pPr>
        <w:spacing w:before="80" w:after="80"/>
      </w:pPr>
      <w:r>
        <w:rPr>
          <w:rFonts w:ascii="Calibri" w:hAnsi="Calibri"/>
          <w:b w:val="0"/>
          <w:color w:val="000000"/>
          <w:sz w:val="22"/>
        </w:rPr>
        <w:t>Documento atualizado após alterações no gate, testes, dependências, pipeline e rotas do dicionário. Nenhuma execução utilizou banco de produção ou desenvolvimento.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440" w:bottom="1080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B6573"/>
        <w:sz w:val="18"/>
      </w:rPr>
      <w:t xml:space="preserve">Página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color w:val="5B6573"/>
        <w:sz w:val="17"/>
      </w:rPr>
      <w:t>JOBSIA  |  COBERTURA DE TESTES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de Cobertura de Testes - JobsIA - Versão 2.0</dc:title>
  <dc:subject>Cobertura após o primeiro ciclo de melhorias</dc:subject>
  <dc:creator>Equipe JobsIA</dc:creator>
  <cp:keywords>JobsIA, testes, cobertura, qualidade, QA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