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02D8595" w:rsidP="4D2BE16C" w:rsidRDefault="502D8595" w14:paraId="6DA495B1" w14:textId="25F86B9F">
      <w:pPr>
        <w:pStyle w:val="Normal"/>
      </w:pPr>
      <w:r w:rsidR="502D8595">
        <w:rPr/>
        <w:t xml:space="preserve">Nome: Gabriel de Sousa Souto </w:t>
      </w:r>
    </w:p>
    <w:p w:rsidR="502D8595" w:rsidP="4D2BE16C" w:rsidRDefault="502D8595" w14:paraId="6608112D" w14:textId="469F1293">
      <w:pPr>
        <w:pStyle w:val="Normal"/>
      </w:pPr>
      <w:r w:rsidR="4ACC3619">
        <w:rPr/>
        <w:t xml:space="preserve">Matrícula: 241003689 </w:t>
      </w:r>
    </w:p>
    <w:p w:rsidR="4D2EBC5A" w:rsidP="0D98CDEE" w:rsidRDefault="4D2EBC5A" w14:paraId="36915A39" w14:textId="4C836E8A">
      <w:pPr>
        <w:pStyle w:val="Normal"/>
      </w:pPr>
      <w:r w:rsidR="552AEFFB">
        <w:rPr/>
        <w:t>Municípios e País: Vitória da Conquista, Ilhéus e Austrália</w:t>
      </w:r>
    </w:p>
    <w:p w:rsidR="7A104B2D" w:rsidP="6F8F8A52" w:rsidRDefault="7A104B2D" w14:paraId="7ACFC0AF" w14:textId="3EF91D5B">
      <w:pPr>
        <w:pStyle w:val="Normal"/>
      </w:pPr>
      <w:r w:rsidR="7A104B2D">
        <w:rPr/>
        <w:t xml:space="preserve">Link do repositório: </w:t>
      </w:r>
    </w:p>
    <w:p w:rsidR="4D2BE16C" w:rsidP="4D2BE16C" w:rsidRDefault="4D2BE16C" w14:paraId="0F6954C4" w14:textId="5A5E2869">
      <w:pPr>
        <w:pStyle w:val="Normal"/>
      </w:pPr>
    </w:p>
    <w:p w:rsidR="4D2BE16C" w:rsidP="1995DBC6" w:rsidRDefault="4D2BE16C" w14:paraId="31611D21" w14:textId="420BA46B">
      <w:pPr>
        <w:pStyle w:val="Normal"/>
        <w:suppressLineNumbers w:val="0"/>
        <w:bidi w:val="0"/>
        <w:spacing w:before="0" w:beforeAutospacing="off" w:after="160" w:afterAutospacing="off" w:line="279" w:lineRule="auto"/>
        <w:ind w:left="0" w:right="0"/>
        <w:jc w:val="left"/>
        <w:rPr>
          <w:b w:val="1"/>
          <w:bCs w:val="1"/>
        </w:rPr>
      </w:pPr>
      <w:r w:rsidR="2BB7C047">
        <w:rPr/>
        <w:t xml:space="preserve">Orientações: Anexei uma planilha com o nome “Dados principais” como o nome já diz, essa planilha tem os principais dados utilizados na </w:t>
      </w:r>
      <w:r w:rsidR="5FCCB7C3">
        <w:rPr/>
        <w:t>prova</w:t>
      </w:r>
      <w:r w:rsidR="2BB7C047">
        <w:rPr/>
        <w:t>, tanto para os dois municípios quanto para o país. Na pasta de nome “Municípios”</w:t>
      </w:r>
      <w:r w:rsidR="6CB0A95C">
        <w:rPr/>
        <w:t xml:space="preserve"> todos os dados das colunas B até S foram coletados do SICONF, com as planilhas de Receitas Orçamentárias e Despesas por Função, nessa pasta, os dados que não foram coletados do SICONF tem o link da fonte n</w:t>
      </w:r>
      <w:r w:rsidR="5DFADFAC">
        <w:rPr/>
        <w:t xml:space="preserve">o próprio nome. Na pasta com nome “País” todos os dados vieram do </w:t>
      </w:r>
      <w:r w:rsidR="3BC315C4">
        <w:rPr/>
        <w:t>IMF (</w:t>
      </w:r>
      <w:r w:rsidR="3BC315C4">
        <w:rPr/>
        <w:t>International</w:t>
      </w:r>
      <w:r w:rsidR="3BC315C4">
        <w:rPr/>
        <w:t xml:space="preserve"> </w:t>
      </w:r>
      <w:r w:rsidR="3BC315C4">
        <w:rPr/>
        <w:t>Monetary</w:t>
      </w:r>
      <w:r w:rsidR="3BC315C4">
        <w:rPr/>
        <w:t xml:space="preserve"> Fund)</w:t>
      </w:r>
      <w:r w:rsidR="6016AD1E">
        <w:rPr/>
        <w:t>. Vou anexar também todas as planilhas que eu baixei para pegar esses dados. A seguir vou descrever quais contas eu usei e anexar todos os links</w:t>
      </w:r>
      <w:r w:rsidR="7047F39B">
        <w:rPr/>
        <w:t xml:space="preserve"> das fontes.</w:t>
      </w:r>
    </w:p>
    <w:p w:rsidR="4D2BE16C" w:rsidP="4D2BE16C" w:rsidRDefault="4D2BE16C" w14:paraId="1528F7DC" w14:textId="1F76BED6">
      <w:pPr>
        <w:pStyle w:val="Normal"/>
      </w:pPr>
      <w:r w:rsidRPr="1995DBC6" w:rsidR="6016AD1E">
        <w:rPr>
          <w:b w:val="1"/>
          <w:bCs w:val="1"/>
        </w:rPr>
        <w:t>Dados Municipais</w:t>
      </w:r>
    </w:p>
    <w:p w:rsidR="4D2BE16C" w:rsidP="4D2BE16C" w:rsidRDefault="4D2BE16C" w14:paraId="5C79D3DC" w14:textId="7F895A3D">
      <w:pPr>
        <w:pStyle w:val="Normal"/>
      </w:pPr>
      <w:r w:rsidRPr="1995DBC6" w:rsidR="6016AD1E">
        <w:rPr>
          <w:lang w:val="en-US"/>
        </w:rPr>
        <w:t>Receitas Correntes:</w:t>
      </w:r>
      <w:r w:rsidRPr="1995DBC6" w:rsidR="6334D1C9">
        <w:rPr>
          <w:lang w:val="en-US"/>
        </w:rPr>
        <w:t xml:space="preserve"> </w:t>
      </w:r>
      <w:hyperlink r:id="Re59e0e5427d14806">
        <w:r w:rsidRPr="1995DBC6" w:rsidR="6334D1C9">
          <w:rPr>
            <w:rStyle w:val="Hyperlink"/>
            <w:lang w:val="en-US"/>
          </w:rPr>
          <w:t>https://siconfi.tesouro.gov.br/siconfi/index.jsf;jsessionid=TrC21Vch6My3LLaiX4opXC2T.node4</w:t>
        </w:r>
      </w:hyperlink>
    </w:p>
    <w:p w:rsidR="4D2BE16C" w:rsidP="4D2BE16C" w:rsidRDefault="4D2BE16C" w14:paraId="2E2995C5" w14:textId="0CD44D8F">
      <w:pPr>
        <w:pStyle w:val="Normal"/>
      </w:pPr>
      <w:r w:rsidRPr="1995DBC6" w:rsidR="6016AD1E">
        <w:rPr>
          <w:lang w:val="en-US"/>
        </w:rPr>
        <w:t>Receita Tributária:</w:t>
      </w:r>
      <w:r w:rsidRPr="1995DBC6" w:rsidR="581F1F1C">
        <w:rPr>
          <w:lang w:val="en-US"/>
        </w:rPr>
        <w:t xml:space="preserve"> </w:t>
      </w:r>
      <w:hyperlink r:id="R77f0e73ebd8e40dc">
        <w:r w:rsidRPr="1995DBC6" w:rsidR="581F1F1C">
          <w:rPr>
            <w:rStyle w:val="Hyperlink"/>
            <w:lang w:val="en-US"/>
          </w:rPr>
          <w:t>https://siconfi.tesouro.gov.br/siconfi/index.jsf;jsessionid=TrC21Vch6My3LLaiX4opXC2T.node4</w:t>
        </w:r>
      </w:hyperlink>
    </w:p>
    <w:p w:rsidR="4D2BE16C" w:rsidP="4D2BE16C" w:rsidRDefault="4D2BE16C" w14:paraId="192D0407" w14:textId="27C95FFE">
      <w:pPr>
        <w:pStyle w:val="Normal"/>
      </w:pPr>
      <w:r w:rsidRPr="1995DBC6" w:rsidR="6016AD1E">
        <w:rPr>
          <w:lang w:val="en-US"/>
        </w:rPr>
        <w:t xml:space="preserve">Despesas (Exceto </w:t>
      </w:r>
      <w:r w:rsidRPr="1995DBC6" w:rsidR="6016AD1E">
        <w:rPr>
          <w:lang w:val="en-US"/>
        </w:rPr>
        <w:t>Intraorçamentárias</w:t>
      </w:r>
      <w:r w:rsidRPr="1995DBC6" w:rsidR="6016AD1E">
        <w:rPr>
          <w:lang w:val="en-US"/>
        </w:rPr>
        <w:t>)</w:t>
      </w:r>
      <w:r w:rsidRPr="1995DBC6" w:rsidR="3C92C5AD">
        <w:rPr>
          <w:lang w:val="en-US"/>
        </w:rPr>
        <w:t>:</w:t>
      </w:r>
      <w:r w:rsidRPr="1995DBC6" w:rsidR="79880AB6">
        <w:rPr>
          <w:lang w:val="en-US"/>
        </w:rPr>
        <w:t xml:space="preserve"> </w:t>
      </w:r>
      <w:hyperlink r:id="R5f927b50a2344122">
        <w:r w:rsidRPr="1995DBC6" w:rsidR="79880AB6">
          <w:rPr>
            <w:rStyle w:val="Hyperlink"/>
            <w:lang w:val="en-US"/>
          </w:rPr>
          <w:t>https://siconfi.tesouro.gov.br/siconfi/index.jsf;jsessionid=TrC21Vch6My3LLaiX4opXC2T.node4</w:t>
        </w:r>
      </w:hyperlink>
    </w:p>
    <w:p w:rsidR="4D2BE16C" w:rsidP="4D2BE16C" w:rsidRDefault="4D2BE16C" w14:paraId="74507DE2" w14:textId="515A193A">
      <w:pPr>
        <w:pStyle w:val="Normal"/>
      </w:pPr>
      <w:r w:rsidRPr="1995DBC6" w:rsidR="6016AD1E">
        <w:rPr>
          <w:lang w:val="en-US"/>
        </w:rPr>
        <w:t>Saúde:</w:t>
      </w:r>
      <w:r w:rsidRPr="1995DBC6" w:rsidR="7A475390">
        <w:rPr>
          <w:lang w:val="en-US"/>
        </w:rPr>
        <w:t xml:space="preserve"> </w:t>
      </w:r>
      <w:hyperlink r:id="Rde0539ccc7d84442">
        <w:r w:rsidRPr="1995DBC6" w:rsidR="7A475390">
          <w:rPr>
            <w:rStyle w:val="Hyperlink"/>
            <w:lang w:val="en-US"/>
          </w:rPr>
          <w:t>https://siconfi.tesouro.gov.br/siconfi/index.jsf;jsessionid=TrC21Vch6My3LLaiX4opXC2T.node4</w:t>
        </w:r>
      </w:hyperlink>
    </w:p>
    <w:p w:rsidR="4D2BE16C" w:rsidP="4D2BE16C" w:rsidRDefault="4D2BE16C" w14:paraId="6ABF3519" w14:textId="210255FE">
      <w:pPr>
        <w:pStyle w:val="Normal"/>
      </w:pPr>
      <w:r w:rsidRPr="1995DBC6" w:rsidR="6016AD1E">
        <w:rPr>
          <w:lang w:val="en-US"/>
        </w:rPr>
        <w:t>Educação</w:t>
      </w:r>
      <w:r w:rsidRPr="1995DBC6" w:rsidR="6016AD1E">
        <w:rPr>
          <w:lang w:val="en-US"/>
        </w:rPr>
        <w:t>:</w:t>
      </w:r>
      <w:r>
        <w:br/>
      </w:r>
      <w:hyperlink r:id="Ra85188068d1949a3">
        <w:r w:rsidRPr="1995DBC6" w:rsidR="41D02A29">
          <w:rPr>
            <w:rStyle w:val="Hyperlink"/>
            <w:lang w:val="en-US"/>
          </w:rPr>
          <w:t>https://siconfi.tesouro.gov.br/siconfi/index.jsf;jsessionid=TrC21Vch6My3LLaiX4opXC2T.node4</w:t>
        </w:r>
      </w:hyperlink>
    </w:p>
    <w:p w:rsidR="4D2BE16C" w:rsidP="4D2BE16C" w:rsidRDefault="4D2BE16C" w14:paraId="631D3BE5" w14:textId="6EE51302">
      <w:pPr>
        <w:pStyle w:val="Normal"/>
      </w:pPr>
      <w:r w:rsidRPr="1995DBC6" w:rsidR="6016AD1E">
        <w:rPr>
          <w:lang w:val="en-US"/>
        </w:rPr>
        <w:t>Receitas de Capital:</w:t>
      </w:r>
      <w:r w:rsidRPr="1995DBC6" w:rsidR="6A8EC352">
        <w:rPr>
          <w:lang w:val="en-US"/>
        </w:rPr>
        <w:t xml:space="preserve"> </w:t>
      </w:r>
      <w:hyperlink r:id="R54911cd0ccb848ff">
        <w:r w:rsidRPr="1995DBC6" w:rsidR="6A8EC352">
          <w:rPr>
            <w:rStyle w:val="Hyperlink"/>
            <w:lang w:val="en-US"/>
          </w:rPr>
          <w:t>https://siconfi.tesouro.gov.br/siconfi/index.jsf;jsessionid=TrC21Vch6My3LLaiX4opXC2T.node4</w:t>
        </w:r>
      </w:hyperlink>
    </w:p>
    <w:p w:rsidR="4D2BE16C" w:rsidP="4D2BE16C" w:rsidRDefault="4D2BE16C" w14:paraId="16694B8E" w14:textId="64C28C4F">
      <w:pPr>
        <w:pStyle w:val="Normal"/>
      </w:pPr>
      <w:r w:rsidRPr="1995DBC6" w:rsidR="6016AD1E">
        <w:rPr>
          <w:lang w:val="en-US"/>
        </w:rPr>
        <w:t>Transferências Correntes:</w:t>
      </w:r>
      <w:r w:rsidRPr="1995DBC6" w:rsidR="5871578A">
        <w:rPr>
          <w:lang w:val="en-US"/>
        </w:rPr>
        <w:t xml:space="preserve"> </w:t>
      </w:r>
      <w:hyperlink r:id="R299c86d72fae412e">
        <w:r w:rsidRPr="1995DBC6" w:rsidR="5871578A">
          <w:rPr>
            <w:rStyle w:val="Hyperlink"/>
            <w:lang w:val="en-US"/>
          </w:rPr>
          <w:t>https://siconfi.tesouro.gov.br/siconfi/index.jsf;jsessionid=TrC21Vch6My3LLaiX4opXC2T.node4</w:t>
        </w:r>
      </w:hyperlink>
    </w:p>
    <w:p w:rsidR="4D2BE16C" w:rsidP="4D2BE16C" w:rsidRDefault="4D2BE16C" w14:paraId="5DD92644" w14:textId="32EC7559">
      <w:pPr>
        <w:pStyle w:val="Normal"/>
      </w:pPr>
      <w:r w:rsidR="6016AD1E">
        <w:rPr/>
        <w:t>Imposto sobre a Propriedade Predial e Territorial Urbana – IPTU:</w:t>
      </w:r>
      <w:r w:rsidR="2F63F3C5">
        <w:rPr/>
        <w:t xml:space="preserve"> </w:t>
      </w:r>
      <w:hyperlink r:id="R125d7eb1bb624143">
        <w:r w:rsidRPr="1995DBC6" w:rsidR="2F63F3C5">
          <w:rPr>
            <w:rStyle w:val="Hyperlink"/>
          </w:rPr>
          <w:t>https://siconfi.tesouro.gov.br/siconfi/index.jsf;jsessionid=TrC21Vch6My3LLaiX4opXC2T.node4</w:t>
        </w:r>
      </w:hyperlink>
    </w:p>
    <w:p w:rsidR="4D2BE16C" w:rsidP="4D2BE16C" w:rsidRDefault="4D2BE16C" w14:paraId="6895761F" w14:textId="44108DCF">
      <w:pPr>
        <w:pStyle w:val="Normal"/>
      </w:pPr>
      <w:r w:rsidR="6016AD1E">
        <w:rPr/>
        <w:t>Imposto sobre Serviços de Qualquer Natureza – ISSQN:</w:t>
      </w:r>
      <w:r w:rsidR="57A0189F">
        <w:rPr/>
        <w:t xml:space="preserve"> </w:t>
      </w:r>
      <w:hyperlink r:id="R1aafa047caf04e87">
        <w:r w:rsidRPr="1995DBC6" w:rsidR="57A0189F">
          <w:rPr>
            <w:rStyle w:val="Hyperlink"/>
          </w:rPr>
          <w:t>https://siconfi.tesouro.gov.br/siconfi/index.jsf;jsessionid=TrC21Vch6My3LLaiX4opXC2T.node4</w:t>
        </w:r>
      </w:hyperlink>
    </w:p>
    <w:p w:rsidR="4D2BE16C" w:rsidP="4D2BE16C" w:rsidRDefault="4D2BE16C" w14:paraId="3172EBAF" w14:textId="3E3D077B">
      <w:pPr>
        <w:pStyle w:val="Normal"/>
      </w:pPr>
      <w:r w:rsidR="732E28DA">
        <w:rPr/>
        <w:t xml:space="preserve">FATOR DE CORREÇÃO ACUMULADO (IPCA): </w:t>
      </w:r>
      <w:hyperlink r:id="R03d4dde71ff643f8">
        <w:r w:rsidRPr="1995DBC6" w:rsidR="732E28DA">
          <w:rPr>
            <w:rStyle w:val="Hyperlink"/>
          </w:rPr>
          <w:t>https://www3.bcb.gov.br/CALCIDADAO/publico/corrigirPorIndice.do?method=corrigirPorIndice</w:t>
        </w:r>
      </w:hyperlink>
    </w:p>
    <w:p w:rsidR="4D2BE16C" w:rsidP="4D2BE16C" w:rsidRDefault="4D2BE16C" w14:paraId="4EB55D1B" w14:textId="5F8221C6">
      <w:pPr>
        <w:pStyle w:val="Normal"/>
      </w:pPr>
      <w:r w:rsidR="732E28DA">
        <w:rPr/>
        <w:t xml:space="preserve">IDEB VTC e BA: </w:t>
      </w:r>
      <w:hyperlink r:id="R248e2ac669174903">
        <w:r w:rsidRPr="1995DBC6" w:rsidR="732E28DA">
          <w:rPr>
            <w:rStyle w:val="Hyperlink"/>
          </w:rPr>
          <w:t>https://qedu.org.br/municipio/2933307-vitoria-da-conquista/ideb</w:t>
        </w:r>
      </w:hyperlink>
    </w:p>
    <w:p w:rsidR="4D2BE16C" w:rsidP="4D2BE16C" w:rsidRDefault="4D2BE16C" w14:paraId="00CB63F2" w14:textId="12728CBF">
      <w:pPr>
        <w:pStyle w:val="Normal"/>
      </w:pPr>
      <w:r w:rsidR="73012B8F">
        <w:rPr/>
        <w:t xml:space="preserve">IDEB ILHÉUS: </w:t>
      </w:r>
      <w:hyperlink r:id="R28be756bd74148e1">
        <w:r w:rsidRPr="1995DBC6" w:rsidR="73012B8F">
          <w:rPr>
            <w:rStyle w:val="Hyperlink"/>
          </w:rPr>
          <w:t>https://qedu.org.br/municipio/2913606-ilheus/ideb</w:t>
        </w:r>
      </w:hyperlink>
    </w:p>
    <w:p w:rsidR="4D2BE16C" w:rsidP="4D2BE16C" w:rsidRDefault="4D2BE16C" w14:paraId="4EF8B8DB" w14:textId="07F7E9FA">
      <w:pPr>
        <w:pStyle w:val="Normal"/>
      </w:pPr>
      <w:r w:rsidR="73012B8F">
        <w:rPr/>
        <w:t xml:space="preserve">POPULAÇÃO (CENSO EM 2022): </w:t>
      </w:r>
      <w:hyperlink r:id="R44412cc8cdb5428c">
        <w:r w:rsidRPr="1995DBC6" w:rsidR="73012B8F">
          <w:rPr>
            <w:rStyle w:val="Hyperlink"/>
          </w:rPr>
          <w:t>https://cidades.ibge.gov.br/brasil/ba/ilheus/panorama</w:t>
        </w:r>
      </w:hyperlink>
    </w:p>
    <w:p w:rsidR="4D2BE16C" w:rsidP="4D2BE16C" w:rsidRDefault="4D2BE16C" w14:paraId="2D3A12F4" w14:textId="075FA7DF">
      <w:pPr>
        <w:pStyle w:val="Normal"/>
      </w:pPr>
      <w:r w:rsidR="73012B8F">
        <w:rPr/>
        <w:t xml:space="preserve">PIB MUNICIPAL: </w:t>
      </w:r>
      <w:hyperlink r:id="Rc855c3263a974f95">
        <w:r w:rsidRPr="1995DBC6" w:rsidR="73012B8F">
          <w:rPr>
            <w:rStyle w:val="Hyperlink"/>
          </w:rPr>
          <w:t>https://sidra.ibge.gov.br/tabela/5938</w:t>
        </w:r>
      </w:hyperlink>
    </w:p>
    <w:p w:rsidR="4D2BE16C" w:rsidP="4D2BE16C" w:rsidRDefault="4D2BE16C" w14:paraId="369EE719" w14:textId="68E95BF7">
      <w:pPr>
        <w:pStyle w:val="Normal"/>
      </w:pPr>
      <w:r w:rsidRPr="1995DBC6" w:rsidR="71C6E801">
        <w:rPr>
          <w:b w:val="1"/>
          <w:bCs w:val="1"/>
        </w:rPr>
        <w:t xml:space="preserve">Dados do País: </w:t>
      </w:r>
    </w:p>
    <w:p w:rsidR="4D2BE16C" w:rsidP="4D2BE16C" w:rsidRDefault="4D2BE16C" w14:paraId="52144A77" w14:textId="5856BFCD">
      <w:pPr>
        <w:pStyle w:val="Normal"/>
      </w:pPr>
      <w:r w:rsidR="71C6E801">
        <w:rPr>
          <w:b w:val="0"/>
          <w:bCs w:val="0"/>
        </w:rPr>
        <w:t>PIB, Receita Geral, Despesas totais, Equilíbrio Estrutural e Dívida</w:t>
      </w:r>
      <w:r w:rsidR="49D13AA0">
        <w:rPr>
          <w:b w:val="0"/>
          <w:bCs w:val="0"/>
        </w:rPr>
        <w:t xml:space="preserve"> </w:t>
      </w:r>
      <w:r w:rsidR="71C6E801">
        <w:rPr>
          <w:b w:val="0"/>
          <w:bCs w:val="0"/>
        </w:rPr>
        <w:t>Bruta</w:t>
      </w:r>
      <w:r w:rsidR="182C72EA">
        <w:rPr>
          <w:b w:val="0"/>
          <w:bCs w:val="0"/>
        </w:rPr>
        <w:t>:</w:t>
      </w:r>
      <w:r w:rsidR="71C6E801">
        <w:rPr>
          <w:b w:val="0"/>
          <w:bCs w:val="0"/>
        </w:rPr>
        <w:t xml:space="preserve"> </w:t>
      </w:r>
      <w:hyperlink r:id="Raa7d9c837a844c3c">
        <w:r w:rsidRPr="1995DBC6" w:rsidR="430158AC">
          <w:rPr>
            <w:rStyle w:val="Hyperlink"/>
            <w:b w:val="0"/>
            <w:bCs w:val="0"/>
          </w:rPr>
          <w:t>https://www.imf.org/en/publications/weo/weo-database/2024/april</w:t>
        </w:r>
      </w:hyperlink>
    </w:p>
    <w:p w:rsidR="4D2BE16C" w:rsidP="4D2BE16C" w:rsidRDefault="4D2BE16C" w14:paraId="4EF0204C" w14:textId="4D3A21D3">
      <w:pPr>
        <w:pStyle w:val="Normal"/>
      </w:pPr>
      <w:r w:rsidRPr="1995DBC6" w:rsidR="3CE2C452">
        <w:rPr>
          <w:b w:val="0"/>
          <w:bCs w:val="0"/>
          <w:lang w:val="en-US"/>
        </w:rPr>
        <w:t>Correção</w:t>
      </w:r>
      <w:r w:rsidRPr="1995DBC6" w:rsidR="3CE2C452">
        <w:rPr>
          <w:b w:val="0"/>
          <w:bCs w:val="0"/>
          <w:lang w:val="en-US"/>
        </w:rPr>
        <w:t xml:space="preserve"> da </w:t>
      </w:r>
      <w:r w:rsidRPr="1995DBC6" w:rsidR="3CE2C452">
        <w:rPr>
          <w:b w:val="0"/>
          <w:bCs w:val="0"/>
          <w:lang w:val="en-US"/>
        </w:rPr>
        <w:t>Inflação</w:t>
      </w:r>
      <w:r w:rsidRPr="1995DBC6" w:rsidR="3CE2C452">
        <w:rPr>
          <w:b w:val="0"/>
          <w:bCs w:val="0"/>
          <w:lang w:val="en-US"/>
        </w:rPr>
        <w:t>:</w:t>
      </w:r>
      <w:r w:rsidRPr="1995DBC6" w:rsidR="246B36F0">
        <w:rPr>
          <w:b w:val="0"/>
          <w:bCs w:val="0"/>
          <w:lang w:val="en-US"/>
        </w:rPr>
        <w:t xml:space="preserve"> </w:t>
      </w:r>
      <w:hyperlink r:id="Rdf065ef4b6e64199">
        <w:r w:rsidRPr="1995DBC6" w:rsidR="246B36F0">
          <w:rPr>
            <w:rStyle w:val="Hyperlink"/>
            <w:b w:val="0"/>
            <w:bCs w:val="0"/>
            <w:lang w:val="en-US"/>
          </w:rPr>
          <w:t>https://www.rba.gov.au/calculator/annualDecimal.html</w:t>
        </w:r>
      </w:hyperlink>
    </w:p>
    <w:p w:rsidR="4D2BE16C" w:rsidP="4D2BE16C" w:rsidRDefault="4D2BE16C" w14:paraId="076AE4A2" w14:textId="7BB9D0FC">
      <w:pPr>
        <w:pStyle w:val="Normal"/>
      </w:pPr>
    </w:p>
    <w:p w:rsidR="4D2BE16C" w:rsidP="0D98CDEE" w:rsidRDefault="4D2BE16C" w14:paraId="7A0158A0" w14:textId="2BA7591A">
      <w:pPr>
        <w:pStyle w:val="Normal"/>
        <w:jc w:val="both"/>
      </w:pPr>
      <w:r w:rsidR="687BD809">
        <w:rPr/>
        <w:t xml:space="preserve">1) </w:t>
      </w:r>
      <w:r w:rsidR="3849B0F2">
        <w:rPr/>
        <w:t>Falar de finanças públicas é, na verdade, falar do cruzamento constante entre quatro áreas que não funcionam sozinhas. De um lado, temos a contabilidade, que cuida do registro técnico, seguindo normas como a Lei 4.320/64 aqui no Brasil ou o padrão do FMI lá fora. Mas o dado contábil por si só é estático, ele precisa da auditoria para garantir que aquilo é real e legal, e da administração para transformar esses números em decisões políticas e alocação de verba. Por fim, a economia amarra tudo isso, trazendo a teoria necessária para entender o impacto dos impostos e do endividamento no bem-estar da sociedade.</w:t>
      </w:r>
    </w:p>
    <w:p w:rsidR="4D2BE16C" w:rsidP="0D98CDEE" w:rsidRDefault="4D2BE16C" w14:paraId="2692FB72" w14:textId="7BBF3A4C">
      <w:pPr>
        <w:pStyle w:val="Normal"/>
        <w:jc w:val="both"/>
      </w:pPr>
      <w:r w:rsidR="3849B0F2">
        <w:rPr/>
        <w:t>Essa conexão fica clara na prática. Se uma prefeitura decide investir mais em educação, não é apenas um ato administrativo. Existe um cálculo econômico de custo de oportunidade por trás, um registro contábil que precisa seguir o regime de competência e, lá na ponta, uma auditoria que vai cobrar se o dinheiro chegou onde deveria. Se um desses pilares falha, o projeto todo desmorona.</w:t>
      </w:r>
    </w:p>
    <w:p w:rsidR="4D2BE16C" w:rsidP="0D98CDEE" w:rsidRDefault="4D2BE16C" w14:paraId="7EA48083" w14:textId="7E8895A3">
      <w:pPr>
        <w:pStyle w:val="Normal"/>
        <w:jc w:val="both"/>
      </w:pPr>
      <w:r w:rsidR="3849B0F2">
        <w:rPr/>
        <w:t>O Exemplo Internacional e a Realidade Brasileira</w:t>
      </w:r>
      <w:r w:rsidR="10825921">
        <w:rPr/>
        <w:t xml:space="preserve">: </w:t>
      </w:r>
      <w:r w:rsidR="3849B0F2">
        <w:rPr/>
        <w:t>Olhando para o cenário global, a Austrália é um caso didático de como essa engrenagem funciona bem. Ao adotar o regime de competência (</w:t>
      </w:r>
      <w:r w:rsidR="3849B0F2">
        <w:rPr/>
        <w:t>accrual</w:t>
      </w:r>
      <w:r w:rsidR="3849B0F2">
        <w:rPr/>
        <w:t>) do padrão GFSM 2014, o governo australiano ganhou uma transparência que permitiu manobras fiscais rápidas. Durante a pandemia, por exemplo, o déficit disparou para quase 8% do PIB, mas a confiança nas instituições e na auditoria deles (o ANAO) era tamanha que o país conseguiu consolidar as contas e voltar para o patamar de 1% em 2023 sem perder credibilidade no mercado.</w:t>
      </w:r>
    </w:p>
    <w:p w:rsidR="4D2BE16C" w:rsidP="0D98CDEE" w:rsidRDefault="4D2BE16C" w14:paraId="0DD4EFB8" w14:textId="22CBF4ED">
      <w:pPr>
        <w:pStyle w:val="Normal"/>
        <w:jc w:val="both"/>
      </w:pPr>
      <w:r w:rsidR="3849B0F2">
        <w:rPr/>
        <w:t>Trazendo para o contexto municipal brasileiro, o caso de Vitória da Conquista ajuda a ilustrar essa dinâmica. Entre 2014 e 2023, a cidade viu sua receita crescer mais de 40% em termos reais. Esse avanço foi acompanhado por um salto expressivo no gasto com educação e, consequentemente, uma melhora visível no IDEB, que saiu de 3,9 para 5,6. Claro que, como qualquer economista diria, "correlação não é causalidade"</w:t>
      </w:r>
      <w:r w:rsidR="1B1B8A51">
        <w:rPr/>
        <w:t>,</w:t>
      </w:r>
      <w:r w:rsidR="3849B0F2">
        <w:rPr/>
        <w:t xml:space="preserve"> existem outros fatores como renda e formação docente em jogo</w:t>
      </w:r>
      <w:r w:rsidR="4296E88B">
        <w:rPr/>
        <w:t>,</w:t>
      </w:r>
      <w:r w:rsidR="3849B0F2">
        <w:rPr/>
        <w:t xml:space="preserve"> mas é difícil ignorar que um gasto maior, quando bem controlado pela contabilidade e fiscalizado pelo TCM, tende a gerar resultados palpáveis.</w:t>
      </w:r>
    </w:p>
    <w:p w:rsidR="4D2BE16C" w:rsidP="0D98CDEE" w:rsidRDefault="4D2BE16C" w14:paraId="35D4BA91" w14:textId="117CD986">
      <w:pPr>
        <w:pStyle w:val="Normal"/>
        <w:jc w:val="both"/>
      </w:pPr>
      <w:r w:rsidR="3849B0F2">
        <w:rPr/>
        <w:t>O Desafio da Dependência Fiscal</w:t>
      </w:r>
      <w:r w:rsidR="140D8D7A">
        <w:rPr/>
        <w:t xml:space="preserve">: </w:t>
      </w:r>
      <w:r w:rsidR="3849B0F2">
        <w:rPr/>
        <w:t>Contudo, há um ponto crítico que afeta a maioria dos nossos municípios: a dependência excessiva de repasses externos, como o FPM e o FUNDEB. Em muitos casos, essas transferências superam 70% da receita. O problema aqui é mais político do que técnico. Quando o dinheiro "vem de fora" e não do bolso direto do cidadão local via impostos próprios, o incentivo para uma gestão eficiente e para a cobrança social diminui. Cria-se um distanciamento: o cidadão cobra menos a auditoria, e o gestor se sente menos pressionado a otimizar o gasto. Quebrar esse ciclo de dependência é, talvez, o maior desafio para que a integração dessas quatro disciplinas funcione plenamente no Brasil.</w:t>
      </w:r>
    </w:p>
    <w:p w:rsidR="4D2BE16C" w:rsidP="0D98CDEE" w:rsidRDefault="4D2BE16C" w14:paraId="736688FF" w14:textId="3974D7B6">
      <w:pPr>
        <w:pStyle w:val="Normal"/>
        <w:jc w:val="both"/>
      </w:pPr>
    </w:p>
    <w:p w:rsidR="4D2BE16C" w:rsidP="0D98CDEE" w:rsidRDefault="4D2BE16C" w14:paraId="4ECAD8D9" w14:textId="13F90328">
      <w:pPr>
        <w:pStyle w:val="Normal"/>
        <w:jc w:val="both"/>
      </w:pPr>
      <w:r w:rsidR="486E6131">
        <w:rPr/>
        <w:t>2</w:t>
      </w:r>
      <w:r w:rsidR="00E7B492">
        <w:rPr/>
        <w:t xml:space="preserve">) </w:t>
      </w:r>
      <w:hyperlink r:id="R465fd094a01f4591">
        <w:r w:rsidRPr="6F8F8A52" w:rsidR="6EDB88B6">
          <w:rPr>
            <w:rStyle w:val="Hyperlink"/>
          </w:rPr>
          <w:t>file:///C:/Users/gabri/OneDrive/Documentos/FSP_P1/australia_indicadores_fiscais_2014_2023.html</w:t>
        </w:r>
      </w:hyperlink>
      <w:r>
        <w:br/>
      </w:r>
      <w:r w:rsidR="19B30901">
        <w:rPr/>
        <w:t>(caso não consiga acessar o link esse documento estará em anexo nos arquivos utilizados)</w:t>
      </w:r>
    </w:p>
    <w:p w:rsidR="4D2BE16C" w:rsidP="0D98CDEE" w:rsidRDefault="4D2BE16C" w14:paraId="6BA9B1B8" w14:textId="05B16221">
      <w:pPr>
        <w:pStyle w:val="Normal"/>
        <w:jc w:val="both"/>
      </w:pPr>
      <w:r>
        <w:br/>
      </w:r>
      <w:r w:rsidR="00E7B492">
        <w:rPr/>
        <w:t>Para entender como a Austrália lida com o dinheiro público, primeiro precisamos olhar para como o país é organizado. Eles operam em uma federação (com seis estados e dois territórios) sob uma monarquia constitucional, mas o que manda mesmo é o modelo parlamentarista de Westminster. Na prática, isso significa que o Primeiro-Ministro precisa manter o Parlamento "na mão", se o orçamento não passa, o governo cai. Além disso, é uma democracia extremamente sólida, figurando sempre no topo de índices como o da Economist. Esses pilares não são apenas curiosidades políticas, eles ditam o ritmo da economia. O federalismo australiano, por exemplo, tem uma característica curiosa</w:t>
      </w:r>
      <w:r w:rsidR="7E89B6DB">
        <w:rPr/>
        <w:t>,</w:t>
      </w:r>
      <w:r w:rsidR="00E7B492">
        <w:rPr/>
        <w:t xml:space="preserve"> o governo central arrecada quase tudo (</w:t>
      </w:r>
      <w:r w:rsidR="0362615B">
        <w:rPr/>
        <w:t>cerca de</w:t>
      </w:r>
      <w:r w:rsidR="00E7B492">
        <w:rPr/>
        <w:t xml:space="preserve"> 80%), mas quem executa os serviços de ponta, como saúde e escolas, são os estados. Para isso funcionar, eles usam um sistema de transferências baseado na "equalização horizontal". Isso garante que um estado mais pobre consiga oferecer o mesmo nível de serviço que um rico. É por isso que a arrecadação deles é tão estável, ficando na casa dos 35% do PIB há uma década, sem grandes sustos.</w:t>
      </w:r>
    </w:p>
    <w:p w:rsidR="4D2BE16C" w:rsidP="0D98CDEE" w:rsidRDefault="4D2BE16C" w14:paraId="7212735C" w14:textId="4C858189">
      <w:pPr>
        <w:pStyle w:val="Normal"/>
        <w:jc w:val="both"/>
      </w:pPr>
      <w:r w:rsidR="26234582">
        <w:rPr/>
        <w:t>O parlamentarismo acaba ajudando na disciplina orçamentária. Como o governo e a maioria parlamentar são, essencialmente, o mesmo grupo, o orçamento tende a ser mais coerente do que em países onde o Executivo e o Legislativo vivem em pé de guerra.</w:t>
      </w:r>
    </w:p>
    <w:p w:rsidR="4D2BE16C" w:rsidP="0D98CDEE" w:rsidRDefault="4D2BE16C" w14:paraId="24E2CBC3" w14:textId="6831A7DA">
      <w:pPr>
        <w:pStyle w:val="Normal"/>
        <w:jc w:val="both"/>
      </w:pPr>
      <w:r w:rsidR="26234582">
        <w:rPr/>
        <w:t>Vimos isso claramente nos dados do FMI entre 2014 e 2023. O país vinha em uma trajetória de "ajuste fino" até 2018, reduzindo o déficit estrutural para menos de 1% do PIB. Quando a pandemia chegou em 2020, o sistema mostrou sua força: o governo conseguiu aprovar pacotes gigantescos (como o JobKeeper para segurar empregos) em questão de semanas. O gasto público saltou para mais de 44% do PIB e a dívida subiu para 57%, mas a resposta foi rápida porque havia credibilidade institucional para isso.</w:t>
      </w:r>
    </w:p>
    <w:p w:rsidR="4D2BE16C" w:rsidP="0D98CDEE" w:rsidRDefault="4D2BE16C" w14:paraId="21F9459E" w14:textId="30319A45">
      <w:pPr>
        <w:pStyle w:val="Normal"/>
        <w:jc w:val="both"/>
      </w:pPr>
      <w:r w:rsidR="26234582">
        <w:rPr/>
        <w:t>O que mais impressiona é a velocidade da volta por cima. Em 2023, os gastos já tinham recuado para o patamar de 37% e o déficit voltou a cair drasticamente. Enquanto muitos países enfrentam crises de confiança quando tentam ajustar as contas após uma emergência, a Austrália manteve uma base fiscal previsível. No fim das contas, essa estabilidade da receita ao longo de todo o período mostra que instituições fortes e um sistema político coeso são o melhor seguro contra a volatilidade econômica.</w:t>
      </w:r>
    </w:p>
    <w:p w:rsidR="4D2BE16C" w:rsidP="0D98CDEE" w:rsidRDefault="4D2BE16C" w14:paraId="33554FDD" w14:textId="3448F775">
      <w:pPr>
        <w:pStyle w:val="Normal"/>
        <w:jc w:val="both"/>
      </w:pPr>
    </w:p>
    <w:p w:rsidR="4D2BE16C" w:rsidP="0D98CDEE" w:rsidRDefault="4D2BE16C" w14:paraId="47E67A5D" w14:textId="3B6B43EE">
      <w:pPr>
        <w:pStyle w:val="Normal"/>
        <w:jc w:val="both"/>
        <w:rPr>
          <w:rFonts w:ascii="Aptos" w:hAnsi="Aptos" w:eastAsia="Aptos"/>
          <w:b w:val="1"/>
          <w:bCs w:val="1"/>
          <w:noProof w:val="0"/>
          <w:sz w:val="24"/>
          <w:szCs w:val="24"/>
          <w:lang w:val="pt-BR"/>
        </w:rPr>
      </w:pPr>
      <w:r w:rsidR="016A8665">
        <w:rPr/>
        <w:t xml:space="preserve">3) </w:t>
      </w:r>
      <w:r w:rsidRPr="0D98CDEE" w:rsidR="016A8665">
        <w:rPr>
          <w:rFonts w:ascii="Aptos" w:hAnsi="Aptos" w:eastAsia="Aptos"/>
          <w:b w:val="1"/>
          <w:bCs w:val="1"/>
          <w:noProof w:val="0"/>
          <w:sz w:val="24"/>
          <w:szCs w:val="24"/>
          <w:lang w:val="pt-BR"/>
        </w:rPr>
        <w:t>Perfil das Receitas: O Desafio da Autonomia em Vitória da Conquista e Ilhéus</w:t>
      </w:r>
    </w:p>
    <w:p w:rsidR="4D2BE16C" w:rsidP="0D98CDEE" w:rsidRDefault="4D2BE16C" w14:paraId="4E936B41" w14:textId="742F5B51">
      <w:pPr>
        <w:jc w:val="both"/>
        <w:rPr>
          <w:rFonts w:ascii="Aptos" w:hAnsi="Aptos" w:eastAsia="Aptos"/>
          <w:noProof w:val="0"/>
          <w:sz w:val="24"/>
          <w:szCs w:val="24"/>
          <w:lang w:val="pt-BR"/>
        </w:rPr>
      </w:pPr>
      <w:r w:rsidRPr="0D98CDEE" w:rsidR="016A8665">
        <w:rPr>
          <w:rFonts w:ascii="Aptos" w:hAnsi="Aptos" w:eastAsia="Aptos"/>
          <w:noProof w:val="0"/>
          <w:sz w:val="24"/>
          <w:szCs w:val="24"/>
          <w:lang w:val="pt-BR"/>
        </w:rPr>
        <w:t>De forma geral, a vida financeira desses dois municípios gira em torno de três eixos: o que vem de fora (transferências como FPM e SUS), o que a prefeitura consegue arrecadar sozinha (IPTU e ISS) e os recursos extras para obras (receitas de capital). O que os dados de dez anos mostram é uma realidade comum no Brasil: uma dependência enorme de Brasília e do Estado, que até vem diminuindo, mas bem devagar.</w:t>
      </w:r>
    </w:p>
    <w:p w:rsidR="4D2BE16C" w:rsidP="0D98CDEE" w:rsidRDefault="4D2BE16C" w14:paraId="0797EA50" w14:textId="672BAC56">
      <w:pPr>
        <w:jc w:val="both"/>
        <w:rPr>
          <w:rFonts w:ascii="Aptos" w:hAnsi="Aptos" w:eastAsia="Aptos"/>
          <w:noProof w:val="0"/>
          <w:sz w:val="24"/>
          <w:szCs w:val="24"/>
          <w:lang w:val="pt-BR"/>
        </w:rPr>
      </w:pPr>
      <w:r w:rsidRPr="0D98CDEE" w:rsidR="016A8665">
        <w:rPr>
          <w:rFonts w:ascii="Aptos" w:hAnsi="Aptos" w:eastAsia="Aptos"/>
          <w:b w:val="1"/>
          <w:bCs w:val="1"/>
          <w:noProof w:val="0"/>
          <w:sz w:val="24"/>
          <w:szCs w:val="24"/>
          <w:lang w:val="pt-BR"/>
        </w:rPr>
        <w:t>Vitória da Conquista</w:t>
      </w:r>
      <w:r w:rsidRPr="0D98CDEE" w:rsidR="016A8665">
        <w:rPr>
          <w:rFonts w:ascii="Aptos" w:hAnsi="Aptos" w:eastAsia="Aptos"/>
          <w:noProof w:val="0"/>
          <w:sz w:val="24"/>
          <w:szCs w:val="24"/>
          <w:lang w:val="pt-BR"/>
        </w:rPr>
        <w:t xml:space="preserve"> tem mostrado uma melhora interessante. Em 2014, quase 80% do que a cidade gastava vinha de transferências, hoje, esse número caiu para cerca de 72%. O grande destaque aqui foi a arrecadação própria, que praticamente dobrou em termos reais. O setor de serviços, impulsionado pelo comércio e pelas faculdades da região, fez o ISS disparar. O IPTU também cresceu bastante, saindo de R$ 21 milhões para R$ 57 milhões, mas ainda dá para sentir que a prefeitura tem "dinheiro na mesa" se atualizar melhor as plantas de valores da cidade. As receitas para investimento (capital) continuam sendo aquele ponto instável, dependendo sempre de convênios que vêm e vão sem muita lógica temporal.</w:t>
      </w:r>
    </w:p>
    <w:p w:rsidR="4D2BE16C" w:rsidP="0D98CDEE" w:rsidRDefault="4D2BE16C" w14:paraId="2FBB67FB" w14:textId="1CC26AC9">
      <w:pPr>
        <w:jc w:val="both"/>
        <w:rPr>
          <w:rFonts w:ascii="Aptos" w:hAnsi="Aptos" w:eastAsia="Aptos"/>
          <w:noProof w:val="0"/>
          <w:sz w:val="24"/>
          <w:szCs w:val="24"/>
          <w:lang w:val="pt-BR"/>
        </w:rPr>
      </w:pPr>
      <w:r w:rsidRPr="0D98CDEE" w:rsidR="016A8665">
        <w:rPr>
          <w:rFonts w:ascii="Aptos" w:hAnsi="Aptos" w:eastAsia="Aptos"/>
          <w:b w:val="1"/>
          <w:bCs w:val="1"/>
          <w:noProof w:val="0"/>
          <w:sz w:val="24"/>
          <w:szCs w:val="24"/>
          <w:lang w:val="pt-BR"/>
        </w:rPr>
        <w:t>Ilhéus</w:t>
      </w:r>
      <w:r w:rsidRPr="0D98CDEE" w:rsidR="016A8665">
        <w:rPr>
          <w:rFonts w:ascii="Aptos" w:hAnsi="Aptos" w:eastAsia="Aptos"/>
          <w:noProof w:val="0"/>
          <w:sz w:val="24"/>
          <w:szCs w:val="24"/>
          <w:lang w:val="pt-BR"/>
        </w:rPr>
        <w:t xml:space="preserve"> segue um caminho parecido, mas com alguns obstáculos a mais. A cidade começou a década ainda mais dependente (82% de transferências), mas conseguiu reduzir esse peso para os mesmos 71% de Conquista. Curiosamente, a arrecadação tributária de Ilhéus cresceu proporcionalmente mais que a de V</w:t>
      </w:r>
      <w:r w:rsidRPr="0D98CDEE" w:rsidR="7953C83E">
        <w:rPr>
          <w:rFonts w:ascii="Aptos" w:hAnsi="Aptos" w:eastAsia="Aptos"/>
          <w:noProof w:val="0"/>
          <w:sz w:val="24"/>
          <w:szCs w:val="24"/>
          <w:lang w:val="pt-BR"/>
        </w:rPr>
        <w:t>CA</w:t>
      </w:r>
      <w:r w:rsidRPr="0D98CDEE" w:rsidR="016A8665">
        <w:rPr>
          <w:rFonts w:ascii="Aptos" w:hAnsi="Aptos" w:eastAsia="Aptos"/>
          <w:noProof w:val="0"/>
          <w:sz w:val="24"/>
          <w:szCs w:val="24"/>
          <w:lang w:val="pt-BR"/>
        </w:rPr>
        <w:t>, embora o valor total seja menor (o que faz sentido pelo tamanho da população).</w:t>
      </w:r>
    </w:p>
    <w:p w:rsidR="4D2BE16C" w:rsidP="0D98CDEE" w:rsidRDefault="4D2BE16C" w14:paraId="5DBE5BDF" w14:textId="2BA24D89">
      <w:pPr>
        <w:jc w:val="both"/>
        <w:rPr>
          <w:rFonts w:ascii="Aptos" w:hAnsi="Aptos" w:eastAsia="Aptos"/>
          <w:noProof w:val="0"/>
          <w:sz w:val="24"/>
          <w:szCs w:val="24"/>
          <w:lang w:val="pt-BR"/>
        </w:rPr>
      </w:pPr>
      <w:r w:rsidRPr="0D98CDEE" w:rsidR="016A8665">
        <w:rPr>
          <w:rFonts w:ascii="Aptos" w:hAnsi="Aptos" w:eastAsia="Aptos"/>
          <w:noProof w:val="0"/>
          <w:sz w:val="24"/>
          <w:szCs w:val="24"/>
          <w:lang w:val="pt-BR"/>
        </w:rPr>
        <w:t xml:space="preserve">Olhando criticamente para os dois casos, o problema não é apenas a falta de dinheiro, mas o </w:t>
      </w:r>
      <w:r w:rsidRPr="0D98CDEE" w:rsidR="016A8665">
        <w:rPr>
          <w:rFonts w:ascii="Aptos" w:hAnsi="Aptos" w:eastAsia="Aptos"/>
          <w:b w:val="1"/>
          <w:bCs w:val="1"/>
          <w:noProof w:val="0"/>
          <w:sz w:val="24"/>
          <w:szCs w:val="24"/>
          <w:lang w:val="pt-BR"/>
        </w:rPr>
        <w:t>incentivo</w:t>
      </w:r>
      <w:r w:rsidRPr="0D98CDEE" w:rsidR="016A8665">
        <w:rPr>
          <w:rFonts w:ascii="Aptos" w:hAnsi="Aptos" w:eastAsia="Aptos"/>
          <w:noProof w:val="0"/>
          <w:sz w:val="24"/>
          <w:szCs w:val="24"/>
          <w:lang w:val="pt-BR"/>
        </w:rPr>
        <w:t>. Para um prefeito, é politicamente caro aumentar o IPTU ou o ISS; ele se desgasta com o eleitor local enquanto a maior parte do orçamento continua vindo de repasses automáticos de Brasília.</w:t>
      </w:r>
    </w:p>
    <w:p w:rsidR="4D2BE16C" w:rsidP="0D98CDEE" w:rsidRDefault="4D2BE16C" w14:paraId="56ADF0D5" w14:textId="486B5559">
      <w:pPr>
        <w:jc w:val="both"/>
      </w:pPr>
      <w:r w:rsidRPr="0D98CDEE" w:rsidR="016A8665">
        <w:rPr>
          <w:rFonts w:ascii="Aptos" w:hAnsi="Aptos" w:eastAsia="Aptos"/>
          <w:noProof w:val="0"/>
          <w:sz w:val="24"/>
          <w:szCs w:val="24"/>
          <w:lang w:val="pt-BR"/>
        </w:rPr>
        <w:t>Além disso, temos a armadilha da "guerra fiscal": cidades vizinhas baixam o ISS para o mínimo de 2% para tentar roubar empresas uma da outra, o que acaba prejudicando a arrecadação de toda a região. No fim, a queda nas receitas que vimos entre 2015 e 2017 prova que, enquanto o modelo de financiamento for tão dependente de repasses federais, o planejamento municipal continuará refém das crises econômicas nacionais. Se Brasília vai mal, o interior sente o golpe quase que imediatamente.</w:t>
      </w:r>
    </w:p>
    <w:p w:rsidR="4D2BE16C" w:rsidP="0D98CDEE" w:rsidRDefault="4D2BE16C" w14:paraId="71ACB7AE" w14:textId="56760707">
      <w:pPr>
        <w:jc w:val="both"/>
      </w:pPr>
      <w:r w:rsidRPr="0D98CDEE" w:rsidR="57155709">
        <w:rPr>
          <w:rFonts w:ascii="Aptos" w:hAnsi="Aptos" w:eastAsia="Aptos"/>
          <w:noProof w:val="0"/>
          <w:sz w:val="24"/>
          <w:szCs w:val="24"/>
          <w:lang w:val="pt-BR"/>
        </w:rPr>
        <w:t xml:space="preserve">Evolução das Receitas de Vitória da Conquista </w:t>
      </w:r>
    </w:p>
    <w:p w:rsidR="4D2BE16C" w:rsidP="0D98CDEE" w:rsidRDefault="4D2BE16C" w14:paraId="52B292DB" w14:textId="7B528256">
      <w:pPr>
        <w:spacing w:before="0" w:beforeAutospacing="off" w:after="0" w:afterAutospacing="off"/>
        <w:jc w:val="both"/>
      </w:pPr>
      <w:r w:rsidR="57155709">
        <w:drawing>
          <wp:inline wp14:editId="18A84EFC" wp14:anchorId="11CB851C">
            <wp:extent cx="6638925" cy="3028950"/>
            <wp:effectExtent l="0" t="0" r="0" b="0"/>
            <wp:docPr id="1647964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964668" name="Picture 1647964668"/>
                    <pic:cNvPicPr/>
                  </pic:nvPicPr>
                  <pic:blipFill>
                    <a:blip xmlns:r="http://schemas.openxmlformats.org/officeDocument/2006/relationships" r:embed="rId779737837">
                      <a:extLst>
                        <a:ext uri="{28A0092B-C50C-407E-A947-70E740481C1C}">
                          <a14:useLocalDpi xmlns:a14="http://schemas.microsoft.com/office/drawing/2010/main"/>
                        </a:ext>
                      </a:extLst>
                    </a:blip>
                    <a:stretch>
                      <a:fillRect/>
                    </a:stretch>
                  </pic:blipFill>
                  <pic:spPr>
                    <a:xfrm>
                      <a:off x="0" y="0"/>
                      <a:ext cx="6638925" cy="3028950"/>
                    </a:xfrm>
                    <a:prstGeom prst="rect">
                      <a:avLst/>
                    </a:prstGeom>
                  </pic:spPr>
                </pic:pic>
              </a:graphicData>
            </a:graphic>
          </wp:inline>
        </w:drawing>
      </w:r>
    </w:p>
    <w:p w:rsidR="4D2BE16C" w:rsidP="0D98CDEE" w:rsidRDefault="4D2BE16C" w14:paraId="43E31C36" w14:textId="6ABEFDE7">
      <w:pPr>
        <w:jc w:val="both"/>
      </w:pPr>
      <w:r w:rsidRPr="0D98CDEE" w:rsidR="57155709">
        <w:rPr>
          <w:rFonts w:ascii="Aptos" w:hAnsi="Aptos" w:eastAsia="Aptos"/>
          <w:noProof w:val="0"/>
          <w:sz w:val="24"/>
          <w:szCs w:val="24"/>
          <w:lang w:val="pt-BR"/>
        </w:rPr>
        <w:t xml:space="preserve">Evolução das Receitas de Ilhéus </w:t>
      </w:r>
    </w:p>
    <w:p w:rsidR="4D2BE16C" w:rsidP="0D98CDEE" w:rsidRDefault="4D2BE16C" w14:paraId="4ECDFFD5" w14:textId="36B4906F">
      <w:pPr>
        <w:spacing w:before="0" w:beforeAutospacing="off" w:after="0" w:afterAutospacing="off"/>
        <w:jc w:val="both"/>
      </w:pPr>
      <w:r w:rsidR="3E3FFDC3">
        <w:drawing>
          <wp:inline wp14:editId="5017DCF5" wp14:anchorId="7452B645">
            <wp:extent cx="6638925" cy="3219450"/>
            <wp:effectExtent l="0" t="0" r="0" b="0"/>
            <wp:docPr id="442066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066160" name="Picture 442066160"/>
                    <pic:cNvPicPr/>
                  </pic:nvPicPr>
                  <pic:blipFill>
                    <a:blip xmlns:r="http://schemas.openxmlformats.org/officeDocument/2006/relationships" r:embed="rId817206633">
                      <a:extLst>
                        <a:ext uri="{28A0092B-C50C-407E-A947-70E740481C1C}">
                          <a14:useLocalDpi xmlns:a14="http://schemas.microsoft.com/office/drawing/2010/main"/>
                        </a:ext>
                      </a:extLst>
                    </a:blip>
                    <a:stretch>
                      <a:fillRect/>
                    </a:stretch>
                  </pic:blipFill>
                  <pic:spPr>
                    <a:xfrm>
                      <a:off x="0" y="0"/>
                      <a:ext cx="6638925" cy="3219450"/>
                    </a:xfrm>
                    <a:prstGeom prst="rect">
                      <a:avLst/>
                    </a:prstGeom>
                  </pic:spPr>
                </pic:pic>
              </a:graphicData>
            </a:graphic>
          </wp:inline>
        </w:drawing>
      </w:r>
    </w:p>
    <w:p w:rsidR="4D2BE16C" w:rsidP="0D98CDEE" w:rsidRDefault="4D2BE16C" w14:paraId="706FD6A2" w14:textId="12E41F3E">
      <w:pPr>
        <w:jc w:val="both"/>
      </w:pPr>
      <w:r w:rsidRPr="0D98CDEE" w:rsidR="65BECBAD">
        <w:rPr>
          <w:rFonts w:ascii="Aptos" w:hAnsi="Aptos" w:eastAsia="Aptos"/>
          <w:noProof w:val="0"/>
          <w:sz w:val="24"/>
          <w:szCs w:val="24"/>
          <w:lang w:val="pt-BR"/>
        </w:rPr>
        <w:t xml:space="preserve">4) </w:t>
      </w:r>
      <w:r w:rsidRPr="0D98CDEE" w:rsidR="65BECBAD">
        <w:rPr>
          <w:rFonts w:ascii="Aptos" w:hAnsi="Aptos" w:eastAsia="Aptos"/>
          <w:noProof w:val="0"/>
          <w:sz w:val="24"/>
          <w:szCs w:val="24"/>
          <w:lang w:val="pt-BR"/>
        </w:rPr>
        <w:t>Ao analisarmos as contas desses dois municípios na última década, percebemos que, embora ambos busquem o equilíbrio, os caminhos foram bem diferentes. Vitória da Conquista é o exemplo da "gestão no limite". O município conseguiu uma façanha rara: fechou todos os dez anos no azul. Nunca houve um déficit corrente. Mas não se engane, não sobrava muito dinheiro. A prefeitura operou quase o tempo todo com a despesa colada na receita gastando entre 94% e 98% de tudo o que arrecadava. O ano de 2019 foi o mais tenso, quando a folga no caixa quase desapareceu. O lado bom é que a receita cresceu 41,5% no período, um pouco acima dos gastos (39,9%), o que permitiu um respiro maior em 2022. É uma cidade que mantém a casa em ordem, mas que tem pouquíssimo fôlego para investir por conta própria, já que quase tudo vai para manter a máquina, especialmente saúde e educação.</w:t>
      </w:r>
      <w:r w:rsidRPr="0D98CDEE" w:rsidR="526E1330">
        <w:rPr>
          <w:rFonts w:ascii="Aptos" w:hAnsi="Aptos" w:eastAsia="Aptos"/>
          <w:noProof w:val="0"/>
          <w:sz w:val="24"/>
          <w:szCs w:val="24"/>
          <w:lang w:val="pt-BR"/>
        </w:rPr>
        <w:t xml:space="preserve"> </w:t>
      </w:r>
      <w:r w:rsidRPr="0D98CDEE" w:rsidR="65BECBAD">
        <w:rPr>
          <w:rFonts w:ascii="Aptos" w:hAnsi="Aptos" w:eastAsia="Aptos"/>
          <w:noProof w:val="0"/>
          <w:sz w:val="24"/>
          <w:szCs w:val="24"/>
          <w:lang w:val="pt-BR"/>
        </w:rPr>
        <w:t xml:space="preserve">Ilhéus, por outro lado, teve uma trajetória muito mais instável, quase como uma montanha-russa. A cidade enfrentou dois déficits preocupantes (em 2018 e 2020). O de 2018 foi particularmente ruim, porque a arrecadação estava caindo e, mesmo assim, os gastos subiram, um erro clássico de gestão. Já em 2020, o tombo foi causado pela pandemia, que derrubou a receita enquanto os gastos com saúde não podiam ser cortados. A boa notícia é que Ilhéus </w:t>
      </w:r>
      <w:r w:rsidRPr="0D98CDEE" w:rsidR="65BECBAD">
        <w:rPr>
          <w:rFonts w:ascii="Aptos" w:hAnsi="Aptos" w:eastAsia="Aptos"/>
          <w:noProof w:val="0"/>
          <w:sz w:val="24"/>
          <w:szCs w:val="24"/>
          <w:lang w:val="pt-BR"/>
        </w:rPr>
        <w:t>deu a volta por cima</w:t>
      </w:r>
      <w:r w:rsidRPr="0D98CDEE" w:rsidR="45C6ABC8">
        <w:rPr>
          <w:rFonts w:ascii="Aptos" w:hAnsi="Aptos" w:eastAsia="Aptos"/>
          <w:noProof w:val="0"/>
          <w:sz w:val="24"/>
          <w:szCs w:val="24"/>
          <w:lang w:val="pt-BR"/>
        </w:rPr>
        <w:t>,</w:t>
      </w:r>
      <w:r w:rsidRPr="0D98CDEE" w:rsidR="65BECBAD">
        <w:rPr>
          <w:rFonts w:ascii="Aptos" w:hAnsi="Aptos" w:eastAsia="Aptos"/>
          <w:noProof w:val="0"/>
          <w:sz w:val="24"/>
          <w:szCs w:val="24"/>
          <w:lang w:val="pt-BR"/>
        </w:rPr>
        <w:t xml:space="preserve"> entre 2014 e 2023, a receita subiu 54%, superando de longe o crescimento das despesas. O ano de 2023 fechou com uma folga histórica, com as despesas consumindo "apenas" 86% da receita, o melhor cenário de toda a década para a cidade.</w:t>
      </w:r>
    </w:p>
    <w:p w:rsidR="4D2BE16C" w:rsidP="0D98CDEE" w:rsidRDefault="4D2BE16C" w14:paraId="539E4B71" w14:textId="3614A5A8">
      <w:pPr>
        <w:pStyle w:val="Normal"/>
        <w:jc w:val="both"/>
      </w:pPr>
      <w:r w:rsidRPr="0D98CDEE" w:rsidR="65BECBAD">
        <w:rPr>
          <w:rFonts w:ascii="Aptos" w:hAnsi="Aptos" w:eastAsia="Aptos"/>
          <w:noProof w:val="0"/>
          <w:sz w:val="24"/>
          <w:szCs w:val="24"/>
          <w:lang w:val="pt-BR"/>
        </w:rPr>
        <w:t>A comparação deixa claro que VC</w:t>
      </w:r>
      <w:r w:rsidRPr="0D98CDEE" w:rsidR="559AE5F9">
        <w:rPr>
          <w:rFonts w:ascii="Aptos" w:hAnsi="Aptos" w:eastAsia="Aptos"/>
          <w:noProof w:val="0"/>
          <w:sz w:val="24"/>
          <w:szCs w:val="24"/>
          <w:lang w:val="pt-BR"/>
        </w:rPr>
        <w:t>A</w:t>
      </w:r>
      <w:r w:rsidRPr="0D98CDEE" w:rsidR="65BECBAD">
        <w:rPr>
          <w:rFonts w:ascii="Aptos" w:hAnsi="Aptos" w:eastAsia="Aptos"/>
          <w:noProof w:val="0"/>
          <w:sz w:val="24"/>
          <w:szCs w:val="24"/>
          <w:lang w:val="pt-BR"/>
        </w:rPr>
        <w:t xml:space="preserve"> é mais previsível e estável, provavelmente por ser um polo de serviços e educação que não sofre tanto com as oscilações de mercado. Ilhéus é mais volátil, refletindo uma economia que sente mais o peso do turismo e do agronegócio.</w:t>
      </w:r>
      <w:r w:rsidRPr="0D98CDEE" w:rsidR="5A2F187F">
        <w:rPr>
          <w:rFonts w:ascii="Aptos" w:hAnsi="Aptos" w:eastAsia="Aptos"/>
          <w:noProof w:val="0"/>
          <w:sz w:val="24"/>
          <w:szCs w:val="24"/>
          <w:lang w:val="pt-BR"/>
        </w:rPr>
        <w:t xml:space="preserve"> </w:t>
      </w:r>
      <w:r w:rsidRPr="0D98CDEE" w:rsidR="65BECBAD">
        <w:rPr>
          <w:rFonts w:ascii="Aptos" w:hAnsi="Aptos" w:eastAsia="Aptos"/>
          <w:noProof w:val="0"/>
          <w:sz w:val="24"/>
          <w:szCs w:val="24"/>
          <w:lang w:val="pt-BR"/>
        </w:rPr>
        <w:t>No entanto, as duas cidades sofrem de um mal comum: o engessamento das despesas. No Brasil, o prefeito não tem muita margem para manobra. Com as vinculações obrigatórias (os 25% da educação e os 15% da saúde), mesmo quando a arrecadação cai, o gasto não cai junto. É uma proteção importante para o cidadão</w:t>
      </w:r>
      <w:r w:rsidRPr="0D98CDEE" w:rsidR="65BECBAD">
        <w:rPr>
          <w:rFonts w:ascii="Aptos" w:hAnsi="Aptos" w:eastAsia="Aptos"/>
          <w:noProof w:val="0"/>
          <w:sz w:val="24"/>
          <w:szCs w:val="24"/>
          <w:lang w:val="pt-BR"/>
        </w:rPr>
        <w:t>, com certeza,</w:t>
      </w:r>
      <w:r w:rsidRPr="0D98CDEE" w:rsidR="65BECBAD">
        <w:rPr>
          <w:rFonts w:ascii="Aptos" w:hAnsi="Aptos" w:eastAsia="Aptos"/>
          <w:noProof w:val="0"/>
          <w:sz w:val="24"/>
          <w:szCs w:val="24"/>
          <w:lang w:val="pt-BR"/>
        </w:rPr>
        <w:t xml:space="preserve"> mas é um pesadelo para o gestor em tempos de crise. Sem a possibilidade de ajustar as velas durante a tempestade, os municípios ficam reféns do ciclo econômico, sem conseguir criar uma reserva para os momentos difíceis.</w:t>
      </w:r>
    </w:p>
    <w:p w:rsidR="4D2BE16C" w:rsidP="0D98CDEE" w:rsidRDefault="4D2BE16C" w14:paraId="3D07DC7B" w14:textId="719583F9">
      <w:pPr>
        <w:pStyle w:val="Normal"/>
        <w:jc w:val="both"/>
      </w:pPr>
      <w:r>
        <w:br/>
      </w:r>
      <w:r w:rsidRPr="0D98CDEE" w:rsidR="2C744BF1">
        <w:rPr>
          <w:rFonts w:ascii="Aptos" w:hAnsi="Aptos" w:eastAsia="Aptos"/>
          <w:noProof w:val="0"/>
          <w:sz w:val="24"/>
          <w:szCs w:val="24"/>
          <w:lang w:val="pt-BR"/>
        </w:rPr>
        <w:t>Receitas X Despesas em Vitória da Conquista</w:t>
      </w:r>
    </w:p>
    <w:p w:rsidR="4D2BE16C" w:rsidP="0D98CDEE" w:rsidRDefault="4D2BE16C" w14:paraId="7BF42A9B" w14:textId="5D75CA61">
      <w:pPr>
        <w:spacing w:before="0" w:beforeAutospacing="off" w:after="0" w:afterAutospacing="off"/>
        <w:jc w:val="both"/>
      </w:pPr>
      <w:r w:rsidR="51232A66">
        <w:drawing>
          <wp:inline wp14:editId="7D5ACAFD" wp14:anchorId="1C954DD7">
            <wp:extent cx="6638925" cy="3276600"/>
            <wp:effectExtent l="0" t="0" r="0" b="0"/>
            <wp:docPr id="9926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6269" name="Picture 9926269"/>
                    <pic:cNvPicPr/>
                  </pic:nvPicPr>
                  <pic:blipFill>
                    <a:blip xmlns:r="http://schemas.openxmlformats.org/officeDocument/2006/relationships" r:embed="rId535441250">
                      <a:extLst>
                        <a:ext uri="{28A0092B-C50C-407E-A947-70E740481C1C}">
                          <a14:useLocalDpi xmlns:a14="http://schemas.microsoft.com/office/drawing/2010/main"/>
                        </a:ext>
                      </a:extLst>
                    </a:blip>
                    <a:stretch>
                      <a:fillRect/>
                    </a:stretch>
                  </pic:blipFill>
                  <pic:spPr>
                    <a:xfrm>
                      <a:off x="0" y="0"/>
                      <a:ext cx="6638925" cy="3276600"/>
                    </a:xfrm>
                    <a:prstGeom prst="rect">
                      <a:avLst/>
                    </a:prstGeom>
                  </pic:spPr>
                </pic:pic>
              </a:graphicData>
            </a:graphic>
          </wp:inline>
        </w:drawing>
      </w:r>
    </w:p>
    <w:p w:rsidR="4D2BE16C" w:rsidP="0D98CDEE" w:rsidRDefault="4D2BE16C" w14:paraId="67211E0A" w14:textId="7E28DC8B">
      <w:pPr>
        <w:pStyle w:val="Normal"/>
        <w:jc w:val="both"/>
      </w:pPr>
      <w:r w:rsidRPr="0D98CDEE" w:rsidR="74BAD5EF">
        <w:rPr>
          <w:rFonts w:ascii="Aptos" w:hAnsi="Aptos" w:eastAsia="Aptos"/>
          <w:noProof w:val="0"/>
          <w:sz w:val="24"/>
          <w:szCs w:val="24"/>
          <w:lang w:val="pt-BR"/>
        </w:rPr>
        <w:t>Receitas X Despesas Ilhéus</w:t>
      </w:r>
    </w:p>
    <w:p w:rsidR="4D2BE16C" w:rsidP="0D98CDEE" w:rsidRDefault="4D2BE16C" w14:paraId="54218C83" w14:textId="4C9D5D8C">
      <w:pPr>
        <w:spacing w:before="0" w:beforeAutospacing="off" w:after="0" w:afterAutospacing="off"/>
        <w:jc w:val="both"/>
      </w:pPr>
      <w:r w:rsidR="74BAD5EF">
        <w:drawing>
          <wp:inline wp14:editId="01237C87" wp14:anchorId="07CF3912">
            <wp:extent cx="6638925" cy="3543300"/>
            <wp:effectExtent l="0" t="0" r="0" b="0"/>
            <wp:docPr id="219665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665230" name="Picture 219665230"/>
                    <pic:cNvPicPr/>
                  </pic:nvPicPr>
                  <pic:blipFill>
                    <a:blip xmlns:r="http://schemas.openxmlformats.org/officeDocument/2006/relationships" r:embed="rId369182837">
                      <a:extLst>
                        <a:ext uri="{28A0092B-C50C-407E-A947-70E740481C1C}">
                          <a14:useLocalDpi xmlns:a14="http://schemas.microsoft.com/office/drawing/2010/main"/>
                        </a:ext>
                      </a:extLst>
                    </a:blip>
                    <a:stretch>
                      <a:fillRect/>
                    </a:stretch>
                  </pic:blipFill>
                  <pic:spPr>
                    <a:xfrm>
                      <a:off x="0" y="0"/>
                      <a:ext cx="6638925" cy="3543300"/>
                    </a:xfrm>
                    <a:prstGeom prst="rect">
                      <a:avLst/>
                    </a:prstGeom>
                  </pic:spPr>
                </pic:pic>
              </a:graphicData>
            </a:graphic>
          </wp:inline>
        </w:drawing>
      </w:r>
    </w:p>
    <w:p w:rsidR="4D2BE16C" w:rsidP="0D98CDEE" w:rsidRDefault="4D2BE16C" w14:paraId="57B3D2BF" w14:textId="0015D156">
      <w:pPr>
        <w:jc w:val="both"/>
      </w:pPr>
      <w:r w:rsidRPr="0D98CDEE" w:rsidR="147C6993">
        <w:rPr>
          <w:rFonts w:ascii="Aptos" w:hAnsi="Aptos" w:eastAsia="Aptos"/>
          <w:noProof w:val="0"/>
          <w:sz w:val="24"/>
          <w:szCs w:val="24"/>
          <w:lang w:val="pt-BR"/>
        </w:rPr>
        <w:t xml:space="preserve">5) </w:t>
      </w:r>
      <w:r w:rsidRPr="0D98CDEE" w:rsidR="147C6993">
        <w:rPr>
          <w:rFonts w:ascii="Aptos" w:hAnsi="Aptos" w:eastAsia="Aptos"/>
          <w:noProof w:val="0"/>
          <w:sz w:val="24"/>
          <w:szCs w:val="24"/>
          <w:lang w:val="pt-BR"/>
        </w:rPr>
        <w:t>Gasto Público vs. Resultado: O que o IDEB nos diz?</w:t>
      </w:r>
    </w:p>
    <w:p w:rsidR="4D2BE16C" w:rsidP="0D98CDEE" w:rsidRDefault="4D2BE16C" w14:paraId="547B99BE" w14:textId="77BB4DCA">
      <w:pPr>
        <w:pStyle w:val="Normal"/>
        <w:jc w:val="both"/>
      </w:pPr>
      <w:r w:rsidRPr="0D98CDEE" w:rsidR="147C6993">
        <w:rPr>
          <w:rFonts w:ascii="Aptos" w:hAnsi="Aptos" w:eastAsia="Aptos"/>
          <w:noProof w:val="0"/>
          <w:sz w:val="24"/>
          <w:szCs w:val="24"/>
          <w:lang w:val="pt-BR"/>
        </w:rPr>
        <w:t>Para entender se o dinheiro investido realmente melhora a educação, rodei um modelo estatístico simples relacionando o gasto real em educação com o IDEB de cada cidade entre 2014 e 2023. O objetivo era ver se, toda vez que a prefeitura abria o cofre, a nota da escola subia. Em Vitória da Conquista, o resultado faz sentido. Encontramos uma correlação positiva e estatisticamente relevante. Na prática, o modelo mostra que o gasto explica cerca de 40% da melhora no IDEB. Para se ter uma ideia, cada milhão de reais investido a mais gerou um pequeno avanço no índice. O salto de Conquista (que saiu de 3,9 para 5,6) não foi mágica: ele coincide com o período em que o investimento cresceu 14% acima da inflação. É claro que os outros 60% do resultado vêm de coisas que o dinheiro não compra sozinho, como o empenho dos professores e o contexto social das famílias, mas em VCA o investimento parece estar sendo "convertido" em aprendizado.</w:t>
      </w:r>
    </w:p>
    <w:p w:rsidR="4D2BE16C" w:rsidP="0D98CDEE" w:rsidRDefault="4D2BE16C" w14:paraId="0BC1F714" w14:textId="06CFC698">
      <w:pPr>
        <w:pStyle w:val="Normal"/>
        <w:jc w:val="both"/>
      </w:pPr>
      <w:r w:rsidRPr="0D98CDEE" w:rsidR="147C6993">
        <w:rPr>
          <w:rFonts w:ascii="Aptos" w:hAnsi="Aptos" w:eastAsia="Aptos"/>
          <w:noProof w:val="0"/>
          <w:sz w:val="24"/>
          <w:szCs w:val="24"/>
          <w:lang w:val="pt-BR"/>
        </w:rPr>
        <w:t>Já em Ilhéus, a conta não fecha. A correlação é fraquíssima e, do ponto de vista estatístico, não tem relevância. O IDEB da cidade ficou travado em 4,6 por cinco anos, mesmo com o gasto subindo mais de 43% no mesmo período</w:t>
      </w:r>
      <w:r w:rsidRPr="0D98CDEE" w:rsidR="6C9367BA">
        <w:rPr>
          <w:rFonts w:ascii="Aptos" w:hAnsi="Aptos" w:eastAsia="Aptos"/>
          <w:noProof w:val="0"/>
          <w:sz w:val="24"/>
          <w:szCs w:val="24"/>
          <w:lang w:val="pt-BR"/>
        </w:rPr>
        <w:t xml:space="preserve">. </w:t>
      </w:r>
      <w:r w:rsidRPr="0D98CDEE" w:rsidR="147C6993">
        <w:rPr>
          <w:rFonts w:ascii="Aptos" w:hAnsi="Aptos" w:eastAsia="Aptos"/>
          <w:noProof w:val="0"/>
          <w:sz w:val="24"/>
          <w:szCs w:val="24"/>
          <w:lang w:val="pt-BR"/>
        </w:rPr>
        <w:t xml:space="preserve">Enquanto </w:t>
      </w:r>
      <w:r w:rsidRPr="0D98CDEE" w:rsidR="7436C90A">
        <w:rPr>
          <w:rFonts w:ascii="Aptos" w:hAnsi="Aptos" w:eastAsia="Aptos"/>
          <w:noProof w:val="0"/>
          <w:sz w:val="24"/>
          <w:szCs w:val="24"/>
          <w:lang w:val="pt-BR"/>
        </w:rPr>
        <w:t xml:space="preserve">VCA </w:t>
      </w:r>
      <w:r w:rsidRPr="0D98CDEE" w:rsidR="147C6993">
        <w:rPr>
          <w:rFonts w:ascii="Aptos" w:hAnsi="Aptos" w:eastAsia="Aptos"/>
          <w:noProof w:val="0"/>
          <w:sz w:val="24"/>
          <w:szCs w:val="24"/>
          <w:lang w:val="pt-BR"/>
        </w:rPr>
        <w:t>consegue transformar recurso em nota, Ilhéus parece ter um problema de eficiência alocativa. O dinheiro entra, o gasto aumenta, mas o resultado na ponta não aparece. Isso sugere que o problema de Ilhéus talvez não seja falta de verba, mas sim como ela é aplicada: infraestrutura, gestão escolar ou valorização real da carreira docente.</w:t>
      </w:r>
    </w:p>
    <w:p w:rsidR="4D2BE16C" w:rsidP="0D98CDEE" w:rsidRDefault="4D2BE16C" w14:paraId="5C8F146D" w14:textId="10F6915F">
      <w:pPr>
        <w:pStyle w:val="Normal"/>
        <w:jc w:val="both"/>
      </w:pPr>
      <w:r w:rsidRPr="0D98CDEE" w:rsidR="47289C40">
        <w:rPr>
          <w:rFonts w:ascii="Aptos" w:hAnsi="Aptos" w:eastAsia="Aptos"/>
          <w:noProof w:val="0"/>
          <w:sz w:val="24"/>
          <w:szCs w:val="24"/>
          <w:lang w:val="pt-BR"/>
        </w:rPr>
        <w:t xml:space="preserve">A conclusão é que </w:t>
      </w:r>
      <w:r w:rsidRPr="0D98CDEE" w:rsidR="47289C40">
        <w:rPr>
          <w:rFonts w:ascii="Aptos" w:hAnsi="Aptos" w:eastAsia="Aptos"/>
          <w:noProof w:val="0"/>
          <w:sz w:val="24"/>
          <w:szCs w:val="24"/>
          <w:lang w:val="pt-BR"/>
        </w:rPr>
        <w:t xml:space="preserve">o </w:t>
      </w:r>
      <w:r w:rsidRPr="0D98CDEE" w:rsidR="37920BFA">
        <w:rPr>
          <w:rFonts w:ascii="Aptos" w:hAnsi="Aptos" w:eastAsia="Aptos"/>
          <w:noProof w:val="0"/>
          <w:sz w:val="24"/>
          <w:szCs w:val="24"/>
          <w:lang w:val="pt-BR"/>
        </w:rPr>
        <w:t>d</w:t>
      </w:r>
      <w:r w:rsidRPr="0D98CDEE" w:rsidR="147C6993">
        <w:rPr>
          <w:rFonts w:ascii="Aptos" w:hAnsi="Aptos" w:eastAsia="Aptos"/>
          <w:noProof w:val="0"/>
          <w:sz w:val="24"/>
          <w:szCs w:val="24"/>
          <w:lang w:val="pt-BR"/>
        </w:rPr>
        <w:t>inheiro</w:t>
      </w:r>
      <w:r w:rsidRPr="0D98CDEE" w:rsidR="147C6993">
        <w:rPr>
          <w:rFonts w:ascii="Aptos" w:hAnsi="Aptos" w:eastAsia="Aptos"/>
          <w:noProof w:val="0"/>
          <w:sz w:val="24"/>
          <w:szCs w:val="24"/>
          <w:lang w:val="pt-BR"/>
        </w:rPr>
        <w:t xml:space="preserve"> é o ponto de partida, não a linha de chegada</w:t>
      </w:r>
      <w:r w:rsidRPr="0D98CDEE" w:rsidR="1DC5080D">
        <w:rPr>
          <w:rFonts w:ascii="Aptos" w:hAnsi="Aptos" w:eastAsia="Aptos"/>
          <w:noProof w:val="0"/>
          <w:sz w:val="24"/>
          <w:szCs w:val="24"/>
          <w:lang w:val="pt-BR"/>
        </w:rPr>
        <w:t xml:space="preserve">. </w:t>
      </w:r>
      <w:r w:rsidRPr="0D98CDEE" w:rsidR="147C6993">
        <w:rPr>
          <w:rFonts w:ascii="Aptos" w:hAnsi="Aptos" w:eastAsia="Aptos"/>
          <w:noProof w:val="0"/>
          <w:sz w:val="24"/>
          <w:szCs w:val="24"/>
          <w:lang w:val="pt-BR"/>
        </w:rPr>
        <w:t>Os dois casos deixam uma lição clara para qualquer gestor</w:t>
      </w:r>
      <w:r w:rsidRPr="0D98CDEE" w:rsidR="2FBAAE18">
        <w:rPr>
          <w:rFonts w:ascii="Aptos" w:hAnsi="Aptos" w:eastAsia="Aptos"/>
          <w:noProof w:val="0"/>
          <w:sz w:val="24"/>
          <w:szCs w:val="24"/>
          <w:lang w:val="pt-BR"/>
        </w:rPr>
        <w:t>,</w:t>
      </w:r>
      <w:r w:rsidRPr="0D98CDEE" w:rsidR="147C6993">
        <w:rPr>
          <w:rFonts w:ascii="Aptos" w:hAnsi="Aptos" w:eastAsia="Aptos"/>
          <w:noProof w:val="0"/>
          <w:sz w:val="24"/>
          <w:szCs w:val="24"/>
          <w:lang w:val="pt-BR"/>
        </w:rPr>
        <w:t xml:space="preserve"> aumentar o orçamento da educação é necessário, mas não é garantia de sucesso. Em Vitória da Conquista, o investimento "engrenou" com a melhora do índice. Em Ilhéus, o gasto parece estar sendo desperdiçado ou mal gerido.</w:t>
      </w:r>
    </w:p>
    <w:p w:rsidR="4D2BE16C" w:rsidP="0D98CDEE" w:rsidRDefault="4D2BE16C" w14:paraId="17BEA6E0" w14:textId="155CBDEC">
      <w:pPr>
        <w:pStyle w:val="Normal"/>
        <w:jc w:val="both"/>
        <w:rPr>
          <w:rFonts w:ascii="Aptos" w:hAnsi="Aptos" w:eastAsia="Aptos"/>
          <w:noProof w:val="0"/>
          <w:sz w:val="24"/>
          <w:szCs w:val="24"/>
          <w:lang w:val="pt-BR"/>
        </w:rPr>
      </w:pPr>
      <w:r w:rsidRPr="0D98CDEE" w:rsidR="147C6993">
        <w:rPr>
          <w:rFonts w:ascii="Aptos" w:hAnsi="Aptos" w:eastAsia="Aptos"/>
          <w:noProof w:val="0"/>
          <w:sz w:val="24"/>
          <w:szCs w:val="24"/>
          <w:lang w:val="pt-BR"/>
        </w:rPr>
        <w:t>No fim das contas, a estatística só confirma o que o bom senso já diz: o IDEB depende de uma série de fatores, da merenda ao treinamento do professor. O gasto público é o combustível, mas se o motor da gestão estiver desregulado, como parece ocorrer em Ilhéus, o carro não anda, não importa quanto se coloque no tanque.</w:t>
      </w:r>
      <w:r>
        <w:br/>
      </w:r>
    </w:p>
    <w:tbl>
      <w:tblPr>
        <w:tblStyle w:val="TableNormal"/>
        <w:bidiVisual w:val="0"/>
        <w:tblW w:w="0" w:type="auto"/>
        <w:tblLook w:val="06A0" w:firstRow="1" w:lastRow="0" w:firstColumn="1" w:lastColumn="0" w:noHBand="1" w:noVBand="1"/>
      </w:tblPr>
      <w:tblGrid>
        <w:gridCol w:w="678"/>
        <w:gridCol w:w="1514"/>
        <w:gridCol w:w="1510"/>
        <w:gridCol w:w="1524"/>
        <w:gridCol w:w="678"/>
        <w:gridCol w:w="1514"/>
        <w:gridCol w:w="1510"/>
        <w:gridCol w:w="1525"/>
      </w:tblGrid>
      <w:tr w:rsidR="0D98CDEE" w:rsidTr="0D98CDEE" w14:paraId="762E3EF0">
        <w:trPr>
          <w:trHeight w:val="435"/>
        </w:trPr>
        <w:tc>
          <w:tcPr>
            <w:tcW w:w="10453" w:type="dxa"/>
            <w:gridSpan w:val="8"/>
            <w:tcBorders>
              <w:top w:val="nil"/>
              <w:left w:val="nil"/>
              <w:bottom w:val="nil"/>
              <w:right w:val="nil"/>
            </w:tcBorders>
            <w:shd w:val="clear" w:color="auto" w:fill="1F4E79"/>
            <w:tcMar>
              <w:top w:w="15" w:type="dxa"/>
              <w:left w:w="15" w:type="dxa"/>
              <w:right w:w="15" w:type="dxa"/>
            </w:tcMar>
            <w:vAlign w:val="center"/>
          </w:tcPr>
          <w:p w:rsidR="0D98CDEE" w:rsidP="0D98CDEE" w:rsidRDefault="0D98CDEE" w14:paraId="54309D8B" w14:textId="27EF15F5">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QUESTÃO 5 — Gasto em Educação x IDEB (Valores Reais)</w:t>
            </w:r>
          </w:p>
        </w:tc>
      </w:tr>
      <w:tr w:rsidR="0D98CDEE" w:rsidTr="0D98CDEE" w14:paraId="518492F6">
        <w:trPr>
          <w:trHeight w:val="300"/>
        </w:trPr>
        <w:tc>
          <w:tcPr>
            <w:tcW w:w="5226" w:type="dxa"/>
            <w:gridSpan w:val="4"/>
            <w:tcBorders>
              <w:top w:val="nil"/>
              <w:left w:val="nil"/>
              <w:bottom w:val="nil"/>
              <w:right w:val="nil"/>
            </w:tcBorders>
            <w:shd w:val="clear" w:color="auto" w:fill="2E75B6"/>
            <w:tcMar>
              <w:top w:w="15" w:type="dxa"/>
              <w:left w:w="15" w:type="dxa"/>
              <w:right w:w="15" w:type="dxa"/>
            </w:tcMar>
            <w:vAlign w:val="center"/>
          </w:tcPr>
          <w:p w:rsidR="0D98CDEE" w:rsidP="0D98CDEE" w:rsidRDefault="0D98CDEE" w14:paraId="33F88368" w14:textId="3652578C">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VITÓRIA DA CONQUISTA</w:t>
            </w:r>
          </w:p>
        </w:tc>
        <w:tc>
          <w:tcPr>
            <w:tcW w:w="5227" w:type="dxa"/>
            <w:gridSpan w:val="4"/>
            <w:tcBorders>
              <w:top w:val="nil"/>
              <w:left w:val="nil"/>
              <w:bottom w:val="nil"/>
              <w:right w:val="nil"/>
            </w:tcBorders>
            <w:shd w:val="clear" w:color="auto" w:fill="ED7D31"/>
            <w:tcMar>
              <w:top w:w="15" w:type="dxa"/>
              <w:left w:w="15" w:type="dxa"/>
              <w:right w:w="15" w:type="dxa"/>
            </w:tcMar>
            <w:vAlign w:val="center"/>
          </w:tcPr>
          <w:p w:rsidR="0D98CDEE" w:rsidP="0D98CDEE" w:rsidRDefault="0D98CDEE" w14:paraId="33FC11D2" w14:textId="3DD4ACE5">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ILHÉUS</w:t>
            </w:r>
          </w:p>
        </w:tc>
      </w:tr>
      <w:tr w:rsidR="0D98CDEE" w:rsidTr="0D98CDEE" w14:paraId="73E3A731">
        <w:trPr>
          <w:trHeight w:val="300"/>
        </w:trPr>
        <w:tc>
          <w:tcPr>
            <w:tcW w:w="678" w:type="dxa"/>
            <w:tcBorders>
              <w:top w:val="single" w:color="B0B0B0" w:sz="4"/>
              <w:left w:val="single" w:color="B0B0B0" w:sz="4"/>
              <w:bottom w:val="single" w:color="B0B0B0" w:sz="4"/>
              <w:right w:val="single" w:color="B0B0B0" w:sz="4"/>
            </w:tcBorders>
            <w:shd w:val="clear" w:color="auto" w:fill="2E75B6"/>
            <w:tcMar>
              <w:top w:w="15" w:type="dxa"/>
              <w:left w:w="15" w:type="dxa"/>
              <w:right w:w="15" w:type="dxa"/>
            </w:tcMar>
            <w:vAlign w:val="center"/>
          </w:tcPr>
          <w:p w:rsidR="0D98CDEE" w:rsidP="0D98CDEE" w:rsidRDefault="0D98CDEE" w14:paraId="154420CF" w14:textId="1CEE518A">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Ano</w:t>
            </w:r>
          </w:p>
        </w:tc>
        <w:tc>
          <w:tcPr>
            <w:tcW w:w="1514" w:type="dxa"/>
            <w:tcBorders>
              <w:top w:val="single" w:color="B0B0B0" w:sz="4"/>
              <w:left w:val="single" w:color="B0B0B0" w:sz="4"/>
              <w:bottom w:val="single" w:color="B0B0B0" w:sz="4"/>
              <w:right w:val="single" w:color="B0B0B0" w:sz="4"/>
            </w:tcBorders>
            <w:shd w:val="clear" w:color="auto" w:fill="2E75B6"/>
            <w:tcMar>
              <w:top w:w="15" w:type="dxa"/>
              <w:left w:w="15" w:type="dxa"/>
              <w:right w:w="15" w:type="dxa"/>
            </w:tcMar>
            <w:vAlign w:val="center"/>
          </w:tcPr>
          <w:p w:rsidR="0D98CDEE" w:rsidP="0D98CDEE" w:rsidRDefault="0D98CDEE" w14:paraId="62071BB8" w14:textId="32FD1A13">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Gasto Educ. (R$ Mi)</w:t>
            </w:r>
          </w:p>
        </w:tc>
        <w:tc>
          <w:tcPr>
            <w:tcW w:w="1510" w:type="dxa"/>
            <w:tcBorders>
              <w:top w:val="single" w:color="B0B0B0" w:sz="4"/>
              <w:left w:val="single" w:color="B0B0B0" w:sz="4"/>
              <w:bottom w:val="single" w:color="B0B0B0" w:sz="4"/>
              <w:right w:val="single" w:color="B0B0B0" w:sz="4"/>
            </w:tcBorders>
            <w:shd w:val="clear" w:color="auto" w:fill="2E75B6"/>
            <w:tcMar>
              <w:top w:w="15" w:type="dxa"/>
              <w:left w:w="15" w:type="dxa"/>
              <w:right w:w="15" w:type="dxa"/>
            </w:tcMar>
            <w:vAlign w:val="center"/>
          </w:tcPr>
          <w:p w:rsidR="0D98CDEE" w:rsidP="0D98CDEE" w:rsidRDefault="0D98CDEE" w14:paraId="60EDEBFE" w14:textId="628A6F54">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IDEB</w:t>
            </w:r>
          </w:p>
        </w:tc>
        <w:tc>
          <w:tcPr>
            <w:tcW w:w="1524" w:type="dxa"/>
            <w:tcBorders>
              <w:top w:val="single" w:color="B0B0B0" w:sz="4"/>
              <w:left w:val="single" w:color="B0B0B0" w:sz="4"/>
              <w:bottom w:val="single" w:color="B0B0B0" w:sz="4"/>
              <w:right w:val="single" w:color="B0B0B0" w:sz="4"/>
            </w:tcBorders>
            <w:shd w:val="clear" w:color="auto" w:fill="2E75B6"/>
            <w:tcMar>
              <w:top w:w="15" w:type="dxa"/>
              <w:left w:w="15" w:type="dxa"/>
              <w:right w:w="15" w:type="dxa"/>
            </w:tcMar>
            <w:vAlign w:val="center"/>
          </w:tcPr>
          <w:p w:rsidR="0D98CDEE" w:rsidP="0D98CDEE" w:rsidRDefault="0D98CDEE" w14:paraId="7B1FBDE2" w14:textId="2519703F">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Ŷ Previsto</w:t>
            </w:r>
          </w:p>
        </w:tc>
        <w:tc>
          <w:tcPr>
            <w:tcW w:w="678" w:type="dxa"/>
            <w:tcBorders>
              <w:top w:val="single" w:color="B0B0B0" w:sz="4"/>
              <w:left w:val="single" w:color="B0B0B0" w:sz="4"/>
              <w:bottom w:val="single" w:color="B0B0B0" w:sz="4"/>
              <w:right w:val="single" w:color="B0B0B0" w:sz="4"/>
            </w:tcBorders>
            <w:shd w:val="clear" w:color="auto" w:fill="ED7D31"/>
            <w:tcMar>
              <w:top w:w="15" w:type="dxa"/>
              <w:left w:w="15" w:type="dxa"/>
              <w:right w:w="15" w:type="dxa"/>
            </w:tcMar>
            <w:vAlign w:val="center"/>
          </w:tcPr>
          <w:p w:rsidR="0D98CDEE" w:rsidP="0D98CDEE" w:rsidRDefault="0D98CDEE" w14:paraId="7BA29926" w14:textId="62DB77FE">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Ano</w:t>
            </w:r>
          </w:p>
        </w:tc>
        <w:tc>
          <w:tcPr>
            <w:tcW w:w="1514" w:type="dxa"/>
            <w:tcBorders>
              <w:top w:val="single" w:color="B0B0B0" w:sz="4"/>
              <w:left w:val="single" w:color="B0B0B0" w:sz="4"/>
              <w:bottom w:val="single" w:color="B0B0B0" w:sz="4"/>
              <w:right w:val="single" w:color="B0B0B0" w:sz="4"/>
            </w:tcBorders>
            <w:shd w:val="clear" w:color="auto" w:fill="ED7D31"/>
            <w:tcMar>
              <w:top w:w="15" w:type="dxa"/>
              <w:left w:w="15" w:type="dxa"/>
              <w:right w:w="15" w:type="dxa"/>
            </w:tcMar>
            <w:vAlign w:val="center"/>
          </w:tcPr>
          <w:p w:rsidR="0D98CDEE" w:rsidP="0D98CDEE" w:rsidRDefault="0D98CDEE" w14:paraId="3EA6F5C0" w14:textId="2BA7FDDB">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Gasto Educ. (R$ Mi)</w:t>
            </w:r>
          </w:p>
        </w:tc>
        <w:tc>
          <w:tcPr>
            <w:tcW w:w="1510" w:type="dxa"/>
            <w:tcBorders>
              <w:top w:val="single" w:color="B0B0B0" w:sz="4"/>
              <w:left w:val="single" w:color="B0B0B0" w:sz="4"/>
              <w:bottom w:val="single" w:color="B0B0B0" w:sz="4"/>
              <w:right w:val="single" w:color="B0B0B0" w:sz="4"/>
            </w:tcBorders>
            <w:shd w:val="clear" w:color="auto" w:fill="ED7D31"/>
            <w:tcMar>
              <w:top w:w="15" w:type="dxa"/>
              <w:left w:w="15" w:type="dxa"/>
              <w:right w:w="15" w:type="dxa"/>
            </w:tcMar>
            <w:vAlign w:val="center"/>
          </w:tcPr>
          <w:p w:rsidR="0D98CDEE" w:rsidP="0D98CDEE" w:rsidRDefault="0D98CDEE" w14:paraId="0FEB9C29" w14:textId="1A36B9E1">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IDEB</w:t>
            </w:r>
          </w:p>
        </w:tc>
        <w:tc>
          <w:tcPr>
            <w:tcW w:w="1525" w:type="dxa"/>
            <w:tcBorders>
              <w:top w:val="single" w:color="B0B0B0" w:sz="4"/>
              <w:left w:val="single" w:color="B0B0B0" w:sz="4"/>
              <w:bottom w:val="single" w:color="B0B0B0" w:sz="4"/>
              <w:right w:val="single" w:color="B0B0B0" w:sz="4"/>
            </w:tcBorders>
            <w:shd w:val="clear" w:color="auto" w:fill="ED7D31"/>
            <w:tcMar>
              <w:top w:w="15" w:type="dxa"/>
              <w:left w:w="15" w:type="dxa"/>
              <w:right w:w="15" w:type="dxa"/>
            </w:tcMar>
            <w:vAlign w:val="center"/>
          </w:tcPr>
          <w:p w:rsidR="0D98CDEE" w:rsidP="0D98CDEE" w:rsidRDefault="0D98CDEE" w14:paraId="61FEEAA1" w14:textId="7F95DF23">
            <w:pPr>
              <w:spacing w:before="0" w:beforeAutospacing="off" w:after="0" w:afterAutospacing="off"/>
              <w:jc w:val="center"/>
            </w:pPr>
            <w:r w:rsidRPr="0D98CDEE" w:rsidR="0D98CDEE">
              <w:rPr>
                <w:rFonts w:ascii="Arial" w:hAnsi="Arial" w:eastAsia="Arial" w:cs="Arial"/>
                <w:b w:val="1"/>
                <w:bCs w:val="1"/>
                <w:i w:val="0"/>
                <w:iCs w:val="0"/>
                <w:strike w:val="0"/>
                <w:dstrike w:val="0"/>
                <w:color w:val="FFFFFF" w:themeColor="background1" w:themeTint="FF" w:themeShade="FF"/>
                <w:sz w:val="20"/>
                <w:szCs w:val="20"/>
                <w:u w:val="none"/>
              </w:rPr>
              <w:t>Ŷ Previsto</w:t>
            </w:r>
          </w:p>
        </w:tc>
      </w:tr>
      <w:tr w:rsidR="0D98CDEE" w:rsidTr="0D98CDEE" w14:paraId="3E47E2B9">
        <w:trPr>
          <w:trHeight w:val="300"/>
        </w:trPr>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7B87F1A7" w14:textId="04F16447">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2014</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6053D75A" w14:textId="3631047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267,4</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2BFA0C39" w14:textId="1CFC4409">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3,9</w:t>
            </w:r>
          </w:p>
        </w:tc>
        <w:tc>
          <w:tcPr>
            <w:tcW w:w="152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085E8A61" w14:textId="7F774425">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4,538</w:t>
            </w:r>
          </w:p>
        </w:tc>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70C6E7F8" w14:textId="649DB65C">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2014</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09514EC1" w14:textId="5D845025">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135,8</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C5B2641" w14:textId="0154C5B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3,6</w:t>
            </w:r>
          </w:p>
        </w:tc>
        <w:tc>
          <w:tcPr>
            <w:tcW w:w="1525"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0F67381C" w14:textId="71FED5B3">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4,361</w:t>
            </w:r>
          </w:p>
        </w:tc>
      </w:tr>
      <w:tr w:rsidR="0D98CDEE" w:rsidTr="0D98CDEE" w14:paraId="6C23CFA3">
        <w:trPr>
          <w:trHeight w:val="300"/>
        </w:trPr>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FA4E40D" w14:textId="25DF5B9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2015</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393A39A9" w14:textId="7875D875">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293,3</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487AE377" w14:textId="4F2600D5">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4,1</w:t>
            </w:r>
          </w:p>
        </w:tc>
        <w:tc>
          <w:tcPr>
            <w:tcW w:w="152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A313FAA" w14:textId="7DE70716">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4,748</w:t>
            </w:r>
          </w:p>
        </w:tc>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580FC16" w14:textId="452C67D3">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2015</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B195A19" w14:textId="68CA91AC">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136,3</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7E0D03D7" w14:textId="1E174B7A">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w:t>
            </w:r>
          </w:p>
        </w:tc>
        <w:tc>
          <w:tcPr>
            <w:tcW w:w="1525"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0EA9AC07" w14:textId="7D28B1AD">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4,362</w:t>
            </w:r>
          </w:p>
        </w:tc>
      </w:tr>
      <w:tr w:rsidR="0D98CDEE" w:rsidTr="0D98CDEE" w14:paraId="7229B6A7">
        <w:trPr>
          <w:trHeight w:val="300"/>
        </w:trPr>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322BC1E4" w14:textId="397192D6">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2016</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57D5977A" w14:textId="1A0317D8">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283,3</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694CC105" w14:textId="052DAF5B">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4,1</w:t>
            </w:r>
          </w:p>
        </w:tc>
        <w:tc>
          <w:tcPr>
            <w:tcW w:w="152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5A01FA26" w14:textId="7A6C1E9A">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4,666</w:t>
            </w:r>
          </w:p>
        </w:tc>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6775F4E2" w14:textId="5AFA2E05">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2016</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24D6076" w14:textId="0E27685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126,7</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221EC18F" w14:textId="6B2DEF9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w:t>
            </w:r>
          </w:p>
        </w:tc>
        <w:tc>
          <w:tcPr>
            <w:tcW w:w="1525"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69907138" w14:textId="356ED21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4,351</w:t>
            </w:r>
          </w:p>
        </w:tc>
      </w:tr>
      <w:tr w:rsidR="0D98CDEE" w:rsidTr="0D98CDEE" w14:paraId="00843EFB">
        <w:trPr>
          <w:trHeight w:val="300"/>
        </w:trPr>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EE05A78" w14:textId="28E70DDC">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2017</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71A9604" w14:textId="2086B728">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281,9</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91089AD" w14:textId="4C5CD25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4,7</w:t>
            </w:r>
          </w:p>
        </w:tc>
        <w:tc>
          <w:tcPr>
            <w:tcW w:w="152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0AD145A8" w14:textId="627D72E1">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4,656</w:t>
            </w:r>
          </w:p>
        </w:tc>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EA1E45F" w14:textId="7BDF6CB9">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2017</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3CEDA215" w14:textId="09B8F798">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126</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B23C62B" w14:textId="5739C45C">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w:t>
            </w:r>
          </w:p>
        </w:tc>
        <w:tc>
          <w:tcPr>
            <w:tcW w:w="1525"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2A40B8B" w14:textId="7062FFD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4,35</w:t>
            </w:r>
          </w:p>
        </w:tc>
      </w:tr>
      <w:tr w:rsidR="0D98CDEE" w:rsidTr="0D98CDEE" w14:paraId="41E17E67">
        <w:trPr>
          <w:trHeight w:val="300"/>
        </w:trPr>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3D1A7175" w14:textId="3EE54538">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2018</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63E96AEE" w14:textId="4DD8760C">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286,1</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25DDADE0" w14:textId="71903F5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4,7</w:t>
            </w:r>
          </w:p>
        </w:tc>
        <w:tc>
          <w:tcPr>
            <w:tcW w:w="152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2B15CB4" w14:textId="704C8C9B">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4,689</w:t>
            </w:r>
          </w:p>
        </w:tc>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8ADD588" w14:textId="5C85F41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2018</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3C94F922" w14:textId="03E718A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129,5</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398A5DEF" w14:textId="6378EE79">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w:t>
            </w:r>
          </w:p>
        </w:tc>
        <w:tc>
          <w:tcPr>
            <w:tcW w:w="1525"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7D00BBBF" w14:textId="4A741267">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4,354</w:t>
            </w:r>
          </w:p>
        </w:tc>
      </w:tr>
      <w:tr w:rsidR="0D98CDEE" w:rsidTr="0D98CDEE" w14:paraId="25260EC9">
        <w:trPr>
          <w:trHeight w:val="300"/>
        </w:trPr>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7742B83D" w14:textId="11EF9EAB">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2019</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95388D5" w14:textId="3325E8B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305</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0A54EAD" w14:textId="32233339">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5,6</w:t>
            </w:r>
          </w:p>
        </w:tc>
        <w:tc>
          <w:tcPr>
            <w:tcW w:w="152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694030AD" w14:textId="5CED13C6">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4,842</w:t>
            </w:r>
          </w:p>
        </w:tc>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4E864B8E" w14:textId="4AAB17F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2019</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B76A65E" w14:textId="2FAB0EBE">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142,7</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508D4904" w14:textId="1839E14A">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w:t>
            </w:r>
          </w:p>
        </w:tc>
        <w:tc>
          <w:tcPr>
            <w:tcW w:w="1525"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5221E4DD" w14:textId="3502B4F5">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4,369</w:t>
            </w:r>
          </w:p>
        </w:tc>
      </w:tr>
      <w:tr w:rsidR="0D98CDEE" w:rsidTr="0D98CDEE" w14:paraId="3EBA6539">
        <w:trPr>
          <w:trHeight w:val="300"/>
        </w:trPr>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1395A323" w14:textId="75307B1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2020</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9B8677F" w14:textId="2841EBF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284,3</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6D912C27" w14:textId="6010CC0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5,6</w:t>
            </w:r>
          </w:p>
        </w:tc>
        <w:tc>
          <w:tcPr>
            <w:tcW w:w="152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791124C3" w14:textId="3700643D">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4,675</w:t>
            </w:r>
          </w:p>
        </w:tc>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E28F8E2" w14:textId="6C09E9E1">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2020</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10157954" w14:textId="0CF133E1">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284,3</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4B37A47" w14:textId="204428B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w:t>
            </w:r>
          </w:p>
        </w:tc>
        <w:tc>
          <w:tcPr>
            <w:tcW w:w="1525"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5B0CCA33" w14:textId="7D908A0D">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4,532</w:t>
            </w:r>
          </w:p>
        </w:tc>
      </w:tr>
      <w:tr w:rsidR="0D98CDEE" w:rsidTr="0D98CDEE" w14:paraId="2069CFEE">
        <w:trPr>
          <w:trHeight w:val="300"/>
        </w:trPr>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3128C94A" w14:textId="218E4DCC">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2021</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F15DDB7" w14:textId="3AD5FC37">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344,7</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6A395F81" w14:textId="73B3D725">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5,6</w:t>
            </w:r>
          </w:p>
        </w:tc>
        <w:tc>
          <w:tcPr>
            <w:tcW w:w="152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69D3988" w14:textId="4D8F6B5E">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5,162</w:t>
            </w:r>
          </w:p>
        </w:tc>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590CFD84" w14:textId="56DDA3B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2021</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02E79FBA" w14:textId="6531EA4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150,1</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5DE6DCF6" w14:textId="08F2C9F7">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w:t>
            </w:r>
          </w:p>
        </w:tc>
        <w:tc>
          <w:tcPr>
            <w:tcW w:w="1525"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3F16A203" w14:textId="0FF776C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4,378</w:t>
            </w:r>
          </w:p>
        </w:tc>
      </w:tr>
      <w:tr w:rsidR="0D98CDEE" w:rsidTr="0D98CDEE" w14:paraId="3F1A54C5">
        <w:trPr>
          <w:trHeight w:val="300"/>
        </w:trPr>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13542D25" w14:textId="48E05E96">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2022</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24380247" w14:textId="23A3726B">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434,5</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4E69CC20" w14:textId="6319D02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5,6</w:t>
            </w:r>
          </w:p>
        </w:tc>
        <w:tc>
          <w:tcPr>
            <w:tcW w:w="152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04707414" w14:textId="561A0F6A">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5,886</w:t>
            </w:r>
          </w:p>
        </w:tc>
        <w:tc>
          <w:tcPr>
            <w:tcW w:w="678"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7C4117B5" w14:textId="08F25111">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2022</w:t>
            </w:r>
          </w:p>
        </w:tc>
        <w:tc>
          <w:tcPr>
            <w:tcW w:w="1514"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0EBA84B2" w14:textId="3F1F6970">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180,8</w:t>
            </w:r>
          </w:p>
        </w:tc>
        <w:tc>
          <w:tcPr>
            <w:tcW w:w="1510"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65CA9A37" w14:textId="174538D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4,6</w:t>
            </w:r>
          </w:p>
        </w:tc>
        <w:tc>
          <w:tcPr>
            <w:tcW w:w="1525" w:type="dxa"/>
            <w:tcBorders>
              <w:top w:val="single" w:color="B0B0B0" w:sz="4"/>
              <w:left w:val="single" w:color="B0B0B0" w:sz="4"/>
              <w:bottom w:val="single" w:color="B0B0B0" w:sz="4"/>
              <w:right w:val="single" w:color="B0B0B0" w:sz="4"/>
            </w:tcBorders>
            <w:shd w:val="clear" w:color="auto" w:fill="F2F2F2" w:themeFill="background1" w:themeFillShade="F2"/>
            <w:tcMar>
              <w:top w:w="15" w:type="dxa"/>
              <w:left w:w="15" w:type="dxa"/>
              <w:right w:w="15" w:type="dxa"/>
            </w:tcMar>
            <w:vAlign w:val="bottom"/>
          </w:tcPr>
          <w:p w:rsidR="0D98CDEE" w:rsidP="0D98CDEE" w:rsidRDefault="0D98CDEE" w14:paraId="1A7F44A6" w14:textId="0D4B5B86">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4,413</w:t>
            </w:r>
          </w:p>
        </w:tc>
      </w:tr>
      <w:tr w:rsidR="0D98CDEE" w:rsidTr="0D98CDEE" w14:paraId="3D47AFC7">
        <w:trPr>
          <w:trHeight w:val="300"/>
        </w:trPr>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6A229875" w14:textId="66B0C61D">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2023</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525A0CF" w14:textId="0EC80E09">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404</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48DAFB37" w14:textId="4C123367">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5,6</w:t>
            </w:r>
          </w:p>
        </w:tc>
        <w:tc>
          <w:tcPr>
            <w:tcW w:w="152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4F5A7938" w14:textId="2A3BB9AE">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5,64</w:t>
            </w:r>
          </w:p>
        </w:tc>
        <w:tc>
          <w:tcPr>
            <w:tcW w:w="678"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25AFE008" w14:textId="5ED0141C">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2023</w:t>
            </w:r>
          </w:p>
        </w:tc>
        <w:tc>
          <w:tcPr>
            <w:tcW w:w="1514"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62EA3AF9" w14:textId="085F01FA">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195,4</w:t>
            </w:r>
          </w:p>
        </w:tc>
        <w:tc>
          <w:tcPr>
            <w:tcW w:w="1510"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1746C313" w14:textId="50934C92">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4,1</w:t>
            </w:r>
          </w:p>
        </w:tc>
        <w:tc>
          <w:tcPr>
            <w:tcW w:w="1525" w:type="dxa"/>
            <w:tcBorders>
              <w:top w:val="single" w:color="B0B0B0" w:sz="4"/>
              <w:left w:val="single" w:color="B0B0B0" w:sz="4"/>
              <w:bottom w:val="single" w:color="B0B0B0" w:sz="4"/>
              <w:right w:val="single" w:color="B0B0B0" w:sz="4"/>
            </w:tcBorders>
            <w:shd w:val="clear" w:color="auto" w:fill="FFFFFF" w:themeFill="background1"/>
            <w:tcMar>
              <w:top w:w="15" w:type="dxa"/>
              <w:left w:w="15" w:type="dxa"/>
              <w:right w:w="15" w:type="dxa"/>
            </w:tcMar>
            <w:vAlign w:val="bottom"/>
          </w:tcPr>
          <w:p w:rsidR="0D98CDEE" w:rsidP="0D98CDEE" w:rsidRDefault="0D98CDEE" w14:paraId="541211B4" w14:textId="1323BEBF">
            <w:pPr>
              <w:spacing w:before="0" w:beforeAutospacing="off" w:after="0" w:afterAutospacing="off"/>
              <w:jc w:val="center"/>
            </w:pPr>
            <w:r w:rsidRPr="0D98CDEE" w:rsidR="0D98CDEE">
              <w:rPr>
                <w:rFonts w:ascii="Arial" w:hAnsi="Arial" w:eastAsia="Arial" w:cs="Arial"/>
                <w:b w:val="0"/>
                <w:bCs w:val="0"/>
                <w:i w:val="0"/>
                <w:iCs w:val="0"/>
                <w:strike w:val="0"/>
                <w:dstrike w:val="0"/>
                <w:sz w:val="20"/>
                <w:szCs w:val="20"/>
                <w:u w:val="none"/>
              </w:rPr>
              <w:t>4,43</w:t>
            </w:r>
          </w:p>
        </w:tc>
      </w:tr>
    </w:tbl>
    <w:p w:rsidR="4D2BE16C" w:rsidP="0D98CDEE" w:rsidRDefault="4D2BE16C" w14:paraId="2D259D67" w14:textId="7C94F86C">
      <w:pPr>
        <w:pStyle w:val="Normal"/>
        <w:jc w:val="both"/>
        <w:rPr>
          <w:rFonts w:ascii="Aptos" w:hAnsi="Aptos" w:eastAsia="Aptos"/>
          <w:noProof w:val="0"/>
          <w:sz w:val="24"/>
          <w:szCs w:val="24"/>
          <w:lang w:val="pt-BR"/>
        </w:rPr>
      </w:pPr>
    </w:p>
    <w:p w:rsidR="6F8F8A52" w:rsidP="6F8F8A52" w:rsidRDefault="6F8F8A52" w14:paraId="04221718" w14:textId="46B36B40">
      <w:pPr>
        <w:pStyle w:val="Normal"/>
        <w:jc w:val="both"/>
        <w:rPr>
          <w:rFonts w:ascii="Aptos" w:hAnsi="Aptos" w:eastAsia="Aptos"/>
          <w:noProof w:val="0"/>
          <w:sz w:val="24"/>
          <w:szCs w:val="24"/>
          <w:lang w:val="pt-BR"/>
        </w:rPr>
      </w:pPr>
    </w:p>
    <w:p w:rsidR="6F8F8A52" w:rsidP="6F8F8A52" w:rsidRDefault="6F8F8A52" w14:paraId="73D9252F" w14:textId="27D19024">
      <w:pPr>
        <w:pStyle w:val="Normal"/>
        <w:jc w:val="both"/>
        <w:rPr>
          <w:rFonts w:ascii="Aptos" w:hAnsi="Aptos" w:eastAsia="Aptos"/>
          <w:noProof w:val="0"/>
          <w:sz w:val="24"/>
          <w:szCs w:val="24"/>
          <w:lang w:val="pt-BR"/>
        </w:rPr>
      </w:pPr>
    </w:p>
    <w:p w:rsidR="6F8F8A52" w:rsidP="6F8F8A52" w:rsidRDefault="6F8F8A52" w14:paraId="2280C5E0" w14:textId="5889A9B3">
      <w:pPr>
        <w:pStyle w:val="Normal"/>
        <w:jc w:val="both"/>
        <w:rPr>
          <w:rFonts w:ascii="Aptos" w:hAnsi="Aptos" w:eastAsia="Aptos"/>
          <w:noProof w:val="0"/>
          <w:sz w:val="24"/>
          <w:szCs w:val="24"/>
          <w:lang w:val="pt-BR"/>
        </w:rPr>
      </w:pPr>
    </w:p>
    <w:p w:rsidR="6F8F8A52" w:rsidP="6F8F8A52" w:rsidRDefault="6F8F8A52" w14:paraId="65A54379" w14:textId="1C9825EE">
      <w:pPr>
        <w:pStyle w:val="Normal"/>
        <w:jc w:val="both"/>
        <w:rPr>
          <w:rFonts w:ascii="Aptos" w:hAnsi="Aptos" w:eastAsia="Aptos"/>
          <w:noProof w:val="0"/>
          <w:sz w:val="24"/>
          <w:szCs w:val="24"/>
          <w:lang w:val="pt-BR"/>
        </w:rPr>
      </w:pPr>
    </w:p>
    <w:p w:rsidR="6F8F8A52" w:rsidP="6F8F8A52" w:rsidRDefault="6F8F8A52" w14:paraId="2A23F4A3" w14:textId="1492A9B6">
      <w:pPr>
        <w:pStyle w:val="Normal"/>
        <w:jc w:val="both"/>
        <w:rPr>
          <w:rFonts w:ascii="Aptos" w:hAnsi="Aptos" w:eastAsia="Aptos"/>
          <w:noProof w:val="0"/>
          <w:sz w:val="24"/>
          <w:szCs w:val="24"/>
          <w:lang w:val="pt-BR"/>
        </w:rPr>
      </w:pPr>
    </w:p>
    <w:p w:rsidR="6F8F8A52" w:rsidP="6F8F8A52" w:rsidRDefault="6F8F8A52" w14:paraId="347D0021" w14:textId="404B7387">
      <w:pPr>
        <w:pStyle w:val="Normal"/>
        <w:jc w:val="both"/>
        <w:rPr>
          <w:rFonts w:ascii="Aptos" w:hAnsi="Aptos" w:eastAsia="Aptos"/>
          <w:noProof w:val="0"/>
          <w:sz w:val="24"/>
          <w:szCs w:val="24"/>
          <w:lang w:val="pt-BR"/>
        </w:rPr>
      </w:pPr>
    </w:p>
    <w:p w:rsidR="6F8F8A52" w:rsidP="6F8F8A52" w:rsidRDefault="6F8F8A52" w14:paraId="526093F5" w14:textId="2E9D4B6C">
      <w:pPr>
        <w:pStyle w:val="Normal"/>
        <w:jc w:val="both"/>
        <w:rPr>
          <w:rFonts w:ascii="Aptos" w:hAnsi="Aptos" w:eastAsia="Aptos"/>
          <w:noProof w:val="0"/>
          <w:sz w:val="24"/>
          <w:szCs w:val="24"/>
          <w:lang w:val="pt-BR"/>
        </w:rPr>
      </w:pPr>
    </w:p>
    <w:p w:rsidR="6F8F8A52" w:rsidP="6F8F8A52" w:rsidRDefault="6F8F8A52" w14:paraId="1BC47AAE" w14:textId="068B1E02">
      <w:pPr>
        <w:pStyle w:val="Normal"/>
        <w:jc w:val="both"/>
        <w:rPr>
          <w:rFonts w:ascii="Aptos" w:hAnsi="Aptos" w:eastAsia="Aptos"/>
          <w:noProof w:val="0"/>
          <w:sz w:val="24"/>
          <w:szCs w:val="24"/>
          <w:lang w:val="pt-BR"/>
        </w:rPr>
      </w:pPr>
    </w:p>
    <w:p w:rsidR="6F8F8A52" w:rsidP="6F8F8A52" w:rsidRDefault="6F8F8A52" w14:paraId="24CE56D0" w14:textId="19E1553F">
      <w:pPr>
        <w:pStyle w:val="Normal"/>
        <w:jc w:val="both"/>
        <w:rPr>
          <w:rFonts w:ascii="Aptos" w:hAnsi="Aptos" w:eastAsia="Aptos"/>
          <w:noProof w:val="0"/>
          <w:sz w:val="24"/>
          <w:szCs w:val="24"/>
          <w:lang w:val="pt-BR"/>
        </w:rPr>
      </w:pPr>
    </w:p>
    <w:p w:rsidR="4D2BE16C" w:rsidP="0D98CDEE" w:rsidRDefault="4D2BE16C" w14:paraId="2478882F" w14:textId="3D659601">
      <w:pPr>
        <w:pStyle w:val="Normal"/>
        <w:jc w:val="both"/>
      </w:pPr>
      <w:r w:rsidRPr="0D98CDEE" w:rsidR="218658EF">
        <w:rPr>
          <w:rFonts w:ascii="Aptos" w:hAnsi="Aptos" w:eastAsia="Aptos"/>
          <w:noProof w:val="0"/>
          <w:sz w:val="24"/>
          <w:szCs w:val="24"/>
          <w:lang w:val="pt-BR"/>
        </w:rPr>
        <w:t xml:space="preserve">6) </w:t>
      </w:r>
    </w:p>
    <w:p w:rsidR="4D2BE16C" w:rsidP="0D98CDEE" w:rsidRDefault="4D2BE16C" w14:paraId="6039EA8B" w14:textId="139BFE3A">
      <w:pPr>
        <w:jc w:val="both"/>
        <w:rPr>
          <w:rFonts w:ascii="Aptos" w:hAnsi="Aptos" w:eastAsia="Aptos"/>
          <w:noProof w:val="0"/>
          <w:sz w:val="24"/>
          <w:szCs w:val="24"/>
          <w:lang w:val="pt-BR"/>
        </w:rPr>
      </w:pPr>
      <w:r w:rsidR="75A0C4E9">
        <w:drawing>
          <wp:inline wp14:editId="55FEBD3D" wp14:anchorId="2EAB03CD">
            <wp:extent cx="6638925" cy="4200525"/>
            <wp:effectExtent l="0" t="0" r="0" b="0"/>
            <wp:docPr id="1758369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369175" name="Picture 1758369175"/>
                    <pic:cNvPicPr/>
                  </pic:nvPicPr>
                  <pic:blipFill>
                    <a:blip xmlns:r="http://schemas.openxmlformats.org/officeDocument/2006/relationships" r:embed="rId1112449956">
                      <a:extLst>
                        <a:ext uri="{28A0092B-C50C-407E-A947-70E740481C1C}">
                          <a14:useLocalDpi xmlns:a14="http://schemas.microsoft.com/office/drawing/2010/main"/>
                        </a:ext>
                      </a:extLst>
                    </a:blip>
                    <a:stretch>
                      <a:fillRect/>
                    </a:stretch>
                  </pic:blipFill>
                  <pic:spPr>
                    <a:xfrm>
                      <a:off x="0" y="0"/>
                      <a:ext cx="6638925" cy="4200525"/>
                    </a:xfrm>
                    <a:prstGeom prst="rect">
                      <a:avLst/>
                    </a:prstGeom>
                  </pic:spPr>
                </pic:pic>
              </a:graphicData>
            </a:graphic>
          </wp:inline>
        </w:drawing>
      </w:r>
    </w:p>
    <w:p w:rsidR="4D2BE16C" w:rsidP="0D98CDEE" w:rsidRDefault="4D2BE16C" w14:paraId="7DC6112E" w14:textId="3B9EE440">
      <w:pPr>
        <w:pStyle w:val="Normal"/>
        <w:jc w:val="both"/>
      </w:pPr>
      <w:r w:rsidR="75A0C4E9">
        <w:rPr/>
        <w:t>Variáveis construídas a partir dos dados municipais (corrigidos pelo IPCA):</w:t>
      </w:r>
    </w:p>
    <w:p w:rsidR="4D2BE16C" w:rsidP="0D98CDEE" w:rsidRDefault="4D2BE16C" w14:paraId="67E21C07" w14:textId="38571575">
      <w:pPr>
        <w:pStyle w:val="Normal"/>
        <w:jc w:val="both"/>
      </w:pPr>
      <w:r w:rsidR="75A0C4E9">
        <w:rPr/>
        <w:t>Eixo X — Proxy de Carga Tributária: Receita Tributária / Receita Corrente (%)  (indica o peso relativo dos tributos próprios na arrecadação total do município)</w:t>
      </w:r>
    </w:p>
    <w:p w:rsidR="4D2BE16C" w:rsidP="0D98CDEE" w:rsidRDefault="4D2BE16C" w14:paraId="3B03E113" w14:textId="346D9FDB">
      <w:pPr>
        <w:pStyle w:val="Normal"/>
        <w:jc w:val="both"/>
      </w:pPr>
      <w:r w:rsidR="75A0C4E9">
        <w:rPr/>
        <w:t>Eixo Y — Eficiência Fiscal: Receita Tributária / PIB Municipal (%)  (mede quanto o município consegue extrair de tributos em relação ao tamanho da sua economia)</w:t>
      </w:r>
    </w:p>
    <w:p w:rsidR="4D2BE16C" w:rsidP="0D98CDEE" w:rsidRDefault="4D2BE16C" w14:paraId="5F363262" w14:textId="755C8AD7">
      <w:pPr>
        <w:pStyle w:val="Normal"/>
        <w:jc w:val="both"/>
      </w:pPr>
      <w:r w:rsidR="75A0C4E9">
        <w:rPr/>
        <w:t>Modelo: Regressão quadrática (polinômio de grau 2).</w:t>
      </w:r>
    </w:p>
    <w:p w:rsidR="4D2BE16C" w:rsidP="0D98CDEE" w:rsidRDefault="4D2BE16C" w14:paraId="2F0BD6B7" w14:textId="1675CFE0">
      <w:pPr>
        <w:pStyle w:val="Normal"/>
        <w:jc w:val="both"/>
      </w:pPr>
      <w:r w:rsidR="2AB597BA">
        <w:rPr/>
        <w:t>Entendido. Vou eliminar os travessões e ajustar o texto para que a pontuação flua de forma natural, usando vírgulas, parênteses ou dois-pontos quando necessário.</w:t>
      </w:r>
    </w:p>
    <w:p w:rsidR="4D2BE16C" w:rsidP="0D98CDEE" w:rsidRDefault="4D2BE16C" w14:paraId="0C222BB9" w14:textId="7DCD07B3">
      <w:pPr>
        <w:pStyle w:val="Normal"/>
        <w:jc w:val="both"/>
      </w:pPr>
      <w:r w:rsidR="2AB597BA">
        <w:rPr/>
        <w:t>Aqui está a versão ajustada do texto anterior, mantendo o tom humano e sem o uso de travessões:</w:t>
      </w:r>
    </w:p>
    <w:p w:rsidR="4D2BE16C" w:rsidP="0D98CDEE" w:rsidRDefault="4D2BE16C" w14:paraId="5289FE13" w14:textId="71823839">
      <w:pPr>
        <w:pStyle w:val="Normal"/>
        <w:jc w:val="both"/>
      </w:pPr>
    </w:p>
    <w:p w:rsidR="4D2BE16C" w:rsidP="0D98CDEE" w:rsidRDefault="4D2BE16C" w14:paraId="127A764B" w14:textId="49A24E6F">
      <w:pPr>
        <w:pStyle w:val="Normal"/>
        <w:jc w:val="both"/>
      </w:pPr>
      <w:r w:rsidR="57137DB9">
        <w:rPr/>
        <w:t xml:space="preserve">A ideia básica, em sua formulação original, é que não existe uma linha reta entre o quanto o governo taxa e o quanto ele arrecada. O que se propõe é uma relação não linear: a receita sobe conforme a carga aumenta, chega a um teto e, depois desse ponto, começa a cair. Isso aconteceria porque o excesso de impostos desestimula a economia, encolhe a base sobre a qual se cobra e acaba prejudicando a própria arrecadação. </w:t>
      </w:r>
    </w:p>
    <w:p w:rsidR="4D2BE16C" w:rsidP="0D98CDEE" w:rsidRDefault="4D2BE16C" w14:paraId="059C3086" w14:textId="67B1BA1D">
      <w:pPr>
        <w:pStyle w:val="Normal"/>
        <w:jc w:val="both"/>
      </w:pPr>
      <w:r w:rsidR="57137DB9">
        <w:rPr/>
        <w:t>Para que a análise fizesse sentido, utilizei dados de 2014 a 2023 ajustados pelo IPCA, garantindo que a inflação não distorcesse a comparação. No eixo horizontal do gráfico, temos o proxy da carga tributária (a relação entre a Receita Tributária e a Receita Corrente). Esse índice mostra o peso dos impostos próprios, como IPTU e ISS, no orçamento total da prefeitura. Já no eixo vertical, medi a eficiência fiscal comparando a Receita Tributária com o PIB Municipal. Essa variável nos dá uma noção de quanto o município consegue extrair de recursos em relação ao tamanho da sua economia local.</w:t>
      </w:r>
    </w:p>
    <w:p w:rsidR="4D2BE16C" w:rsidP="0D98CDEE" w:rsidRDefault="4D2BE16C" w14:paraId="7034B50A" w14:textId="5FA1D85B">
      <w:pPr>
        <w:pStyle w:val="Normal"/>
        <w:jc w:val="both"/>
      </w:pPr>
      <w:r w:rsidR="57137DB9">
        <w:rPr/>
        <w:t>Ao rodar o modelo de regressão quadrática, que é o padrão para tentar encontrar o formato de parábola da teoria, cheguei à equação $y = 0,0302x^2 + 0,1258x + 5,8175$, com um $R^2$ de 0,6817. É um resultado bem interessante, já que quase 70% da variação na eficiência fiscal é explicada por esse movimento da carga tributária, mesmo com uma amostra pequena de 20 observações.</w:t>
      </w:r>
    </w:p>
    <w:p w:rsidR="4D2BE16C" w:rsidP="0D98CDEE" w:rsidRDefault="4D2BE16C" w14:paraId="39C3B871" w14:textId="0130D532">
      <w:pPr>
        <w:pStyle w:val="Normal"/>
        <w:jc w:val="both"/>
      </w:pPr>
      <w:r w:rsidR="57137DB9">
        <w:rPr/>
        <w:t>Olhando para os dados, fica claro que as duas cidades ocupam espaços diferentes. Vitória da Conquista começou o período com uma carga relativamente baixa, entre 14% e 16%, mas deu um salto nítido a partir de 2018. Em 2022 e 2023, o esforço fiscal superou os 20%, e a arrecadação em relação ao PIB bateu o recorde da série (26% em 2022). Já Ilhéus seguiu um ritmo mais cadenciado. Começou perto dos 14% em 2014 e foi subindo gradualmente, oscilando entre 17% e 21%, com seu melhor desempenho em 2021.</w:t>
      </w:r>
    </w:p>
    <w:p w:rsidR="4D2BE16C" w:rsidP="0D98CDEE" w:rsidRDefault="4D2BE16C" w14:paraId="730392F5" w14:textId="2BEA39FB">
      <w:pPr>
        <w:pStyle w:val="Normal"/>
        <w:jc w:val="both"/>
      </w:pPr>
      <w:r w:rsidR="57137DB9">
        <w:rPr/>
        <w:t xml:space="preserve">O ponto que realmente chama a atenção, e que pede uma interpretação cuidadosa, é o sinal do coeficiente da regressão. O valor positivo ($a = +0,0302$) mostra que a parábola tem a concavidade voltada para cima. Isso é o oposto do "U invertido" que a teoria de </w:t>
      </w:r>
      <w:r w:rsidR="57137DB9">
        <w:rPr/>
        <w:t>Laffer</w:t>
      </w:r>
      <w:r w:rsidR="57137DB9">
        <w:rPr/>
        <w:t xml:space="preserve"> prevê. Embora pareça estranho, esse resultado era previsível por causa do tempo limitado dos dados. Com apenas dez anos de histórico e municípios operando em uma faixa estreita de carga (entre 14% e 21%), a série não é longa o suficiente para mostrar a curva completa. Para ver o arco de queda, precisaríamos de variações muito mais extremas na carga tributária ou de décadas de observação.</w:t>
      </w:r>
    </w:p>
    <w:p w:rsidR="4D2BE16C" w:rsidP="0D98CDEE" w:rsidRDefault="4D2BE16C" w14:paraId="259BFCFA" w14:textId="738EB2DD">
      <w:pPr>
        <w:pStyle w:val="Normal"/>
        <w:jc w:val="both"/>
      </w:pPr>
      <w:r w:rsidR="57137DB9">
        <w:rPr/>
        <w:t>Basicamente, o fato de a curva estar "subindo" não desmente Laffer. Isso apenas confirma que, nesse intervalo, as duas cidades ainda estão na fase ascendente, longe daquele limite onde o imposto começa a sufocar a atividade econômica. Se tivéssemos dados de trinta ou quarenta anos, ou se incluíssemos cidades com cargas altíssimas, a inflexão provavelmente apareceria.</w:t>
      </w:r>
    </w:p>
    <w:p w:rsidR="4D2BE16C" w:rsidP="0D98CDEE" w:rsidRDefault="4D2BE16C" w14:paraId="2E98E061" w14:textId="5BD7B92B">
      <w:pPr>
        <w:pStyle w:val="Normal"/>
        <w:jc w:val="both"/>
      </w:pPr>
      <w:r w:rsidR="240A535C">
        <w:rPr/>
        <w:t>O t</w:t>
      </w:r>
      <w:r w:rsidR="57137DB9">
        <w:rPr/>
        <w:t>rabalho traz uma visão coerente: no período recente, o fortalecimento dos impostos municipais em Conquista e Ilhéus foi compatível com o crescimento econômico, e o formato da curva encontrado é apenas um reflexo natural das limitações dos dados disponíveis.</w:t>
      </w:r>
    </w:p>
    <w:p w:rsidR="4D2BE16C" w:rsidP="0D98CDEE" w:rsidRDefault="4D2BE16C" w14:paraId="5DFD7064" w14:textId="47E0A530">
      <w:pPr>
        <w:pStyle w:val="Normal"/>
        <w:jc w:val="both"/>
      </w:pPr>
      <w:r w:rsidR="39BEB594">
        <w:rPr/>
        <w:t>7)</w:t>
      </w:r>
      <w:r w:rsidR="065EFE33">
        <w:drawing>
          <wp:inline wp14:editId="04089C06" wp14:anchorId="655A206F">
            <wp:extent cx="6638925" cy="4210050"/>
            <wp:effectExtent l="0" t="0" r="0" b="0"/>
            <wp:docPr id="1059449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449408" name="Picture 1059449408"/>
                    <pic:cNvPicPr/>
                  </pic:nvPicPr>
                  <pic:blipFill>
                    <a:blip xmlns:r="http://schemas.openxmlformats.org/officeDocument/2006/relationships" r:embed="rId811957166">
                      <a:extLst>
                        <a:ext uri="{28A0092B-C50C-407E-A947-70E740481C1C}">
                          <a14:useLocalDpi xmlns:a14="http://schemas.microsoft.com/office/drawing/2010/main"/>
                        </a:ext>
                      </a:extLst>
                    </a:blip>
                    <a:stretch>
                      <a:fillRect/>
                    </a:stretch>
                  </pic:blipFill>
                  <pic:spPr>
                    <a:xfrm>
                      <a:off x="0" y="0"/>
                      <a:ext cx="6638925" cy="4210050"/>
                    </a:xfrm>
                    <a:prstGeom prst="rect">
                      <a:avLst/>
                    </a:prstGeom>
                  </pic:spPr>
                </pic:pic>
              </a:graphicData>
            </a:graphic>
          </wp:inline>
        </w:drawing>
      </w:r>
    </w:p>
    <w:p w:rsidR="4D2BE16C" w:rsidP="6F8F8A52" w:rsidRDefault="4D2BE16C" w14:paraId="39D898AC" w14:textId="2FFFAFC6">
      <w:pPr>
        <w:spacing w:before="240" w:beforeAutospacing="off" w:after="240" w:afterAutospacing="off"/>
        <w:jc w:val="both"/>
        <w:rPr>
          <w:rFonts w:ascii="Aptos" w:hAnsi="Aptos" w:eastAsia="Aptos" w:cs="Aptos"/>
          <w:b w:val="0"/>
          <w:bCs w:val="0"/>
          <w:noProof w:val="0"/>
          <w:sz w:val="24"/>
          <w:szCs w:val="24"/>
          <w:lang w:val="pt-BR"/>
        </w:rPr>
      </w:pPr>
      <w:r w:rsidRPr="6F8F8A52" w:rsidR="065EFE33">
        <w:rPr>
          <w:rFonts w:ascii="Aptos" w:hAnsi="Aptos" w:eastAsia="Aptos" w:cs="Aptos"/>
          <w:b w:val="0"/>
          <w:bCs w:val="0"/>
          <w:noProof w:val="0"/>
          <w:sz w:val="24"/>
          <w:szCs w:val="24"/>
          <w:lang w:val="pt-BR"/>
        </w:rPr>
        <w:t>i) Coleta e Tratamento dos Dados</w:t>
      </w:r>
    </w:p>
    <w:p w:rsidR="4D2BE16C" w:rsidP="6F8F8A52" w:rsidRDefault="4D2BE16C" w14:paraId="5DA53A4B" w14:textId="62673175">
      <w:pPr>
        <w:spacing w:before="240" w:beforeAutospacing="off" w:after="240" w:afterAutospacing="off"/>
        <w:jc w:val="both"/>
      </w:pPr>
      <w:r w:rsidRPr="6F8F8A52" w:rsidR="065EFE33">
        <w:rPr>
          <w:rFonts w:ascii="Aptos" w:hAnsi="Aptos" w:eastAsia="Aptos" w:cs="Aptos"/>
          <w:noProof w:val="0"/>
          <w:sz w:val="24"/>
          <w:szCs w:val="24"/>
          <w:lang w:val="pt-BR"/>
        </w:rPr>
        <w:t>Os dados que serviram de base para esta análise vieram de duas fontes principais, consolidadas na planilha Dados_Principais.xlsx. A Receita Corrente (nossa variável dependente) foi retirada dos registros fiscais das prefeituras de Vitória da Conquista e Ilhéus, cobrindo todos os ingressos de 2014 até 2023. Já o PIB Municipal veio das tabelas do IBGE (SIDRA 5938). Para garantir que a comparação fosse justa ao longo dessa década, apliquei o IPCA para deflacionar as duas séries. No fim, a amostra ficou com 20 observações (dez anos para cada cidade), todas em valores reais de 2023 e convertidas para milhões de reais para facilitar a leitura dos resultados.</w:t>
      </w:r>
    </w:p>
    <w:p w:rsidR="4D2BE16C" w:rsidP="6F8F8A52" w:rsidRDefault="4D2BE16C" w14:paraId="121BD11A" w14:textId="5F045349">
      <w:pPr>
        <w:spacing w:before="240" w:beforeAutospacing="off" w:after="240" w:afterAutospacing="off"/>
        <w:jc w:val="both"/>
        <w:rPr>
          <w:rFonts w:ascii="Aptos" w:hAnsi="Aptos" w:eastAsia="Aptos" w:cs="Aptos"/>
          <w:b w:val="0"/>
          <w:bCs w:val="0"/>
          <w:noProof w:val="0"/>
          <w:sz w:val="24"/>
          <w:szCs w:val="24"/>
          <w:lang w:val="pt-BR"/>
        </w:rPr>
      </w:pPr>
      <w:r w:rsidRPr="6F8F8A52" w:rsidR="065EFE33">
        <w:rPr>
          <w:rFonts w:ascii="Aptos" w:hAnsi="Aptos" w:eastAsia="Aptos" w:cs="Aptos"/>
          <w:b w:val="0"/>
          <w:bCs w:val="0"/>
          <w:noProof w:val="0"/>
          <w:sz w:val="24"/>
          <w:szCs w:val="24"/>
          <w:lang w:val="pt-BR"/>
        </w:rPr>
        <w:t>ii) Estimação do Modelo</w:t>
      </w:r>
    </w:p>
    <w:p w:rsidR="4D2BE16C" w:rsidP="6F8F8A52" w:rsidRDefault="4D2BE16C" w14:paraId="7386ECAF" w14:textId="15CA5D8F">
      <w:pPr>
        <w:spacing w:before="240" w:beforeAutospacing="off" w:after="240" w:afterAutospacing="off"/>
        <w:jc w:val="both"/>
      </w:pPr>
      <w:r w:rsidRPr="6F8F8A52" w:rsidR="065EFE33">
        <w:rPr>
          <w:rFonts w:ascii="Aptos" w:hAnsi="Aptos" w:eastAsia="Aptos" w:cs="Aptos"/>
          <w:noProof w:val="0"/>
          <w:sz w:val="24"/>
          <w:szCs w:val="24"/>
          <w:lang w:val="pt-BR"/>
        </w:rPr>
        <w:t>Utilizei o método de Mínimos Quadrados Ordinários (MQO) por meio de Python, com bibliotecas como pandas e scipy.stats. O modelo seguiu a estrutura clássica da regressão linear simples: Receita = β₀ + β₁·PIB + ε. Aqui, o β₀ representa aquela receita teórica que existiria independente do PIB, enquanto o β₁ mede como a arrecadação reage às variações na economia local.</w:t>
      </w:r>
    </w:p>
    <w:p w:rsidR="4D2BE16C" w:rsidP="6F8F8A52" w:rsidRDefault="4D2BE16C" w14:paraId="32E718AB" w14:textId="4E75C6A0">
      <w:pPr>
        <w:spacing w:before="240" w:beforeAutospacing="off" w:after="240" w:afterAutospacing="off"/>
        <w:jc w:val="both"/>
      </w:pPr>
      <w:r w:rsidRPr="6F8F8A52" w:rsidR="065EFE33">
        <w:rPr>
          <w:rFonts w:ascii="Aptos" w:hAnsi="Aptos" w:eastAsia="Aptos" w:cs="Aptos"/>
          <w:noProof w:val="0"/>
          <w:sz w:val="24"/>
          <w:szCs w:val="24"/>
          <w:lang w:val="pt-BR"/>
        </w:rPr>
        <w:t>Os resultados foram bem sólidos:</w:t>
      </w:r>
    </w:p>
    <w:p w:rsidR="4D2BE16C" w:rsidP="6F8F8A52" w:rsidRDefault="4D2BE16C" w14:paraId="73050D7B" w14:textId="49796886">
      <w:pPr>
        <w:pStyle w:val="Normal"/>
        <w:spacing w:before="240" w:beforeAutospacing="off" w:after="240" w:afterAutospacing="off"/>
        <w:ind w:left="0"/>
        <w:jc w:val="both"/>
        <w:rPr>
          <w:rFonts w:ascii="Aptos" w:hAnsi="Aptos" w:eastAsia="Aptos" w:cs="Aptos"/>
          <w:noProof w:val="0"/>
          <w:sz w:val="24"/>
          <w:szCs w:val="24"/>
          <w:lang w:val="pt-BR"/>
        </w:rPr>
      </w:pPr>
      <w:r w:rsidRPr="6F8F8A52" w:rsidR="065EFE33">
        <w:rPr>
          <w:rFonts w:ascii="Aptos" w:hAnsi="Aptos" w:eastAsia="Aptos" w:cs="Aptos"/>
          <w:b w:val="1"/>
          <w:bCs w:val="1"/>
          <w:noProof w:val="0"/>
          <w:sz w:val="24"/>
          <w:szCs w:val="24"/>
          <w:lang w:val="pt-BR"/>
        </w:rPr>
        <w:t>β₁ (PIB):</w:t>
      </w:r>
      <w:r w:rsidRPr="6F8F8A52" w:rsidR="065EFE33">
        <w:rPr>
          <w:rFonts w:ascii="Aptos" w:hAnsi="Aptos" w:eastAsia="Aptos" w:cs="Aptos"/>
          <w:noProof w:val="0"/>
          <w:sz w:val="24"/>
          <w:szCs w:val="24"/>
          <w:lang w:val="pt-BR"/>
        </w:rPr>
        <w:t xml:space="preserve"> 1,1815 (erro padrão de 0,0909 e p-valor quase zero)</w:t>
      </w:r>
      <w:r>
        <w:br/>
      </w:r>
      <w:r w:rsidRPr="6F8F8A52" w:rsidR="065EFE33">
        <w:rPr>
          <w:rFonts w:ascii="Aptos" w:hAnsi="Aptos" w:eastAsia="Aptos" w:cs="Aptos"/>
          <w:b w:val="1"/>
          <w:bCs w:val="1"/>
          <w:noProof w:val="0"/>
          <w:sz w:val="24"/>
          <w:szCs w:val="24"/>
          <w:lang w:val="pt-BR"/>
        </w:rPr>
        <w:t>β₀ (Intercepto):</w:t>
      </w:r>
      <w:r w:rsidRPr="6F8F8A52" w:rsidR="065EFE33">
        <w:rPr>
          <w:rFonts w:ascii="Aptos" w:hAnsi="Aptos" w:eastAsia="Aptos" w:cs="Aptos"/>
          <w:noProof w:val="0"/>
          <w:sz w:val="24"/>
          <w:szCs w:val="24"/>
          <w:lang w:val="pt-BR"/>
        </w:rPr>
        <w:t xml:space="preserve"> −131,27 (p-valor de 0,089)</w:t>
      </w:r>
      <w:r>
        <w:br/>
      </w:r>
      <w:r w:rsidRPr="6F8F8A52" w:rsidR="065EFE33">
        <w:rPr>
          <w:rFonts w:ascii="Aptos" w:hAnsi="Aptos" w:eastAsia="Aptos" w:cs="Aptos"/>
          <w:b w:val="1"/>
          <w:bCs w:val="1"/>
          <w:noProof w:val="0"/>
          <w:sz w:val="24"/>
          <w:szCs w:val="24"/>
          <w:lang w:val="pt-BR"/>
        </w:rPr>
        <w:t>Ajuste:</w:t>
      </w:r>
      <w:r w:rsidRPr="6F8F8A52" w:rsidR="065EFE33">
        <w:rPr>
          <w:rFonts w:ascii="Aptos" w:hAnsi="Aptos" w:eastAsia="Aptos" w:cs="Aptos"/>
          <w:noProof w:val="0"/>
          <w:sz w:val="24"/>
          <w:szCs w:val="24"/>
          <w:lang w:val="pt-BR"/>
        </w:rPr>
        <w:t xml:space="preserve"> O R² foi de 0,9038, com um erro padrão (RMSE) de 81,86 milhões de reais.</w:t>
      </w:r>
    </w:p>
    <w:p w:rsidR="4D2BE16C" w:rsidP="6F8F8A52" w:rsidRDefault="4D2BE16C" w14:paraId="6E1CB766" w14:textId="7E02F1DE">
      <w:pPr>
        <w:spacing w:before="240" w:beforeAutospacing="off" w:after="240" w:afterAutospacing="off"/>
        <w:jc w:val="both"/>
        <w:rPr>
          <w:rFonts w:ascii="Aptos" w:hAnsi="Aptos" w:eastAsia="Aptos" w:cs="Aptos"/>
          <w:b w:val="0"/>
          <w:bCs w:val="0"/>
          <w:noProof w:val="0"/>
          <w:sz w:val="24"/>
          <w:szCs w:val="24"/>
          <w:lang w:val="pt-BR"/>
        </w:rPr>
      </w:pPr>
      <w:r w:rsidRPr="6F8F8A52" w:rsidR="065EFE33">
        <w:rPr>
          <w:rFonts w:ascii="Aptos" w:hAnsi="Aptos" w:eastAsia="Aptos" w:cs="Aptos"/>
          <w:b w:val="0"/>
          <w:bCs w:val="0"/>
          <w:noProof w:val="0"/>
          <w:sz w:val="24"/>
          <w:szCs w:val="24"/>
          <w:lang w:val="pt-BR"/>
        </w:rPr>
        <w:t>iii) O que o β₁ nos diz economicamente</w:t>
      </w:r>
    </w:p>
    <w:p w:rsidR="4D2BE16C" w:rsidP="6F8F8A52" w:rsidRDefault="4D2BE16C" w14:paraId="71656138" w14:textId="0A3927FF">
      <w:pPr>
        <w:spacing w:before="240" w:beforeAutospacing="off" w:after="240" w:afterAutospacing="off"/>
        <w:jc w:val="both"/>
      </w:pPr>
      <w:r w:rsidRPr="6F8F8A52" w:rsidR="065EFE33">
        <w:rPr>
          <w:rFonts w:ascii="Aptos" w:hAnsi="Aptos" w:eastAsia="Aptos" w:cs="Aptos"/>
          <w:noProof w:val="0"/>
          <w:sz w:val="24"/>
          <w:szCs w:val="24"/>
          <w:lang w:val="pt-BR"/>
        </w:rPr>
        <w:t>O coeficiente β₁ de 1,1815 é o coração do estudo. Na prática, ele indica que para cada 1 milhão de reais que o PIB municipal cresce, a Receita Corrente tende a subir, em média, 1,18 milhão. O fato desse número ser maior que 1 é muito relevante: ele sugere uma elasticidade receita-PIB superior à unidade. Em outras palavras, o sistema tributário e as transferências desses municípios são progressivos em relação ao PIB. Quando a economia local acelera, a arrecadação cresce em um ritmo ainda mais forte, aumentando a fatia do setor público na renda da cidade. Isso reflete tanto a eficiência de impostos como ISS e IPTU quanto o impacto das transferências (como FPM e ICMS) que respondem bem ao nível de atividade. A estatística t de 13,00 mostra que esse resultado é muito confiável do ponto de vista estatístico. Já o intercepto negativo não chegou a ser significante ao nível de 5%, o que faz sentido, já que não se espera arrecadação real com um PIB zerado.</w:t>
      </w:r>
    </w:p>
    <w:p w:rsidR="4D2BE16C" w:rsidP="6F8F8A52" w:rsidRDefault="4D2BE16C" w14:paraId="07902E24" w14:textId="0F84BAE7">
      <w:pPr>
        <w:spacing w:before="240" w:beforeAutospacing="off" w:after="240" w:afterAutospacing="off"/>
        <w:jc w:val="both"/>
        <w:rPr>
          <w:rFonts w:ascii="Aptos" w:hAnsi="Aptos" w:eastAsia="Aptos" w:cs="Aptos"/>
          <w:b w:val="0"/>
          <w:bCs w:val="0"/>
          <w:noProof w:val="0"/>
          <w:sz w:val="24"/>
          <w:szCs w:val="24"/>
          <w:lang w:val="pt-BR"/>
        </w:rPr>
      </w:pPr>
      <w:r w:rsidRPr="6F8F8A52" w:rsidR="065EFE33">
        <w:rPr>
          <w:rFonts w:ascii="Aptos" w:hAnsi="Aptos" w:eastAsia="Aptos" w:cs="Aptos"/>
          <w:b w:val="0"/>
          <w:bCs w:val="0"/>
          <w:noProof w:val="0"/>
          <w:sz w:val="24"/>
          <w:szCs w:val="24"/>
          <w:lang w:val="pt-BR"/>
        </w:rPr>
        <w:t>iv) Leitura do Gráfico de Dispersão</w:t>
      </w:r>
    </w:p>
    <w:p w:rsidR="4D2BE16C" w:rsidP="6F8F8A52" w:rsidRDefault="4D2BE16C" w14:paraId="3FE94DA6" w14:textId="16B2B1F5">
      <w:pPr>
        <w:spacing w:before="240" w:beforeAutospacing="off" w:after="240" w:afterAutospacing="off"/>
        <w:jc w:val="both"/>
      </w:pPr>
      <w:r w:rsidRPr="6F8F8A52" w:rsidR="065EFE33">
        <w:rPr>
          <w:rFonts w:ascii="Aptos" w:hAnsi="Aptos" w:eastAsia="Aptos" w:cs="Aptos"/>
          <w:noProof w:val="0"/>
          <w:sz w:val="24"/>
          <w:szCs w:val="24"/>
          <w:lang w:val="pt-BR"/>
        </w:rPr>
        <w:t>O gráfico mostra o PIB no eixo horizontal e a Receita no vertical. Usei círculos azuis para Vitória da Conquista e quadrados vermelhos para Ilhéus, com uma reta de regressão verde cortando os pontos. Visualmente, a aderência é excelente, o que confirma o R² de 0,90. Notei que existe uma divisão clara no gráfico: Ilhéus fica na faixa de PIB entre 520 e 730 milhões, enquanto Conquista opera num patamar mais alto, entre 870 e 1.270 milhões. Essa diferença é ótima para o modelo porque dá mais "corpo" aos dados e ajuda na precisão do coeficiente. Nos anos de 2022 e 2023, especialmente em Conquista, os pontos sobem para o canto superior direito, mostrando que o crescimento do PIB veio acompanhado de um aumento bem nítido na receita.</w:t>
      </w:r>
    </w:p>
    <w:p w:rsidR="4D2BE16C" w:rsidP="6F8F8A52" w:rsidRDefault="4D2BE16C" w14:paraId="27B30B8D" w14:textId="65EFAD53">
      <w:pPr>
        <w:spacing w:before="240" w:beforeAutospacing="off" w:after="240" w:afterAutospacing="off"/>
        <w:jc w:val="both"/>
        <w:rPr>
          <w:rFonts w:ascii="Aptos" w:hAnsi="Aptos" w:eastAsia="Aptos" w:cs="Aptos"/>
          <w:b w:val="0"/>
          <w:bCs w:val="0"/>
          <w:noProof w:val="0"/>
          <w:sz w:val="24"/>
          <w:szCs w:val="24"/>
          <w:lang w:val="pt-BR"/>
        </w:rPr>
      </w:pPr>
      <w:r w:rsidRPr="6F8F8A52" w:rsidR="065EFE33">
        <w:rPr>
          <w:rFonts w:ascii="Aptos" w:hAnsi="Aptos" w:eastAsia="Aptos" w:cs="Aptos"/>
          <w:b w:val="0"/>
          <w:bCs w:val="0"/>
          <w:noProof w:val="0"/>
          <w:sz w:val="24"/>
          <w:szCs w:val="24"/>
          <w:lang w:val="pt-BR"/>
        </w:rPr>
        <w:t>v) Implicações para a Gestão Fiscal</w:t>
      </w:r>
    </w:p>
    <w:p w:rsidR="4D2BE16C" w:rsidP="6F8F8A52" w:rsidRDefault="4D2BE16C" w14:paraId="11B2DF4C" w14:textId="27D203D9">
      <w:pPr>
        <w:spacing w:before="240" w:beforeAutospacing="off" w:after="240" w:afterAutospacing="off"/>
        <w:jc w:val="both"/>
      </w:pPr>
      <w:r w:rsidRPr="6F8F8A52" w:rsidR="065EFE33">
        <w:rPr>
          <w:rFonts w:ascii="Aptos" w:hAnsi="Aptos" w:eastAsia="Aptos" w:cs="Aptos"/>
          <w:noProof w:val="0"/>
          <w:sz w:val="24"/>
          <w:szCs w:val="24"/>
          <w:lang w:val="pt-BR"/>
        </w:rPr>
        <w:t>Esses números trazem lições importantes para os gestores. A primeira é que o PIB é, de longe, o que mais dita a capacidade de arrecadar. Como o β₁ é maior que 1, qualquer investimento que estimule a economia local acaba "se pagando" com folga através do retorno fiscal. É um círculo virtuoso.</w:t>
      </w:r>
    </w:p>
    <w:p w:rsidR="4D2BE16C" w:rsidP="6F8F8A52" w:rsidRDefault="4D2BE16C" w14:paraId="63EE91E9" w14:textId="039768F3">
      <w:pPr>
        <w:spacing w:before="240" w:beforeAutospacing="off" w:after="240" w:afterAutospacing="off"/>
        <w:jc w:val="both"/>
      </w:pPr>
      <w:r w:rsidRPr="6F8F8A52" w:rsidR="065EFE33">
        <w:rPr>
          <w:rFonts w:ascii="Aptos" w:hAnsi="Aptos" w:eastAsia="Aptos" w:cs="Aptos"/>
          <w:noProof w:val="0"/>
          <w:sz w:val="24"/>
          <w:szCs w:val="24"/>
          <w:lang w:val="pt-BR"/>
        </w:rPr>
        <w:t>Por outro lado, isso acende um sinal de alerta sobre o risco fiscal. Se a receita sobe mais que o PIB na expansão, ela também cai mais rápido na recessão. Isso exige que as prefeituras tenham responsabilidade e criem reservas para aguentar choques negativos, como o que vimos em 2020 na pandemia. Por fim, como 10% da variação da receita não depende do PIB (o resíduo do R²), fica claro que ainda há margem para melhorar a arrecadação via fiscalização e atualização de cadastros, sem depender apenas do crescimento da economia.</w:t>
      </w:r>
    </w:p>
    <w:p w:rsidR="4D2BE16C" w:rsidP="0D98CDEE" w:rsidRDefault="4D2BE16C" w14:paraId="17E45B99" w14:textId="7C95BD47">
      <w:pPr>
        <w:pStyle w:val="Normal"/>
        <w:jc w:val="both"/>
      </w:pPr>
      <w:r w:rsidR="01DBAC56">
        <w:rPr/>
        <w:t xml:space="preserve">8) </w:t>
      </w:r>
      <w:hyperlink r:id="Rcc20377d99674605">
        <w:r w:rsidRPr="6F8F8A52" w:rsidR="1196CECE">
          <w:rPr>
            <w:rStyle w:val="Hyperlink"/>
          </w:rPr>
          <w:t>file:///C:/Users/gabri/OneDrive/Documentos/FSP_P1/mapa_tematico_per_capita_bahia.html</w:t>
        </w:r>
      </w:hyperlink>
      <w:r>
        <w:br/>
      </w:r>
      <w:r w:rsidR="349953A6">
        <w:rPr/>
        <w:t>(caso não consiga acessar o link esse documento estará em anexo nos arquivos utilizados)</w:t>
      </w:r>
    </w:p>
    <w:p w:rsidR="4D2BE16C" w:rsidP="0D98CDEE" w:rsidRDefault="4D2BE16C" w14:paraId="04B07E5D" w14:textId="6276E034">
      <w:pPr>
        <w:pStyle w:val="Normal"/>
        <w:jc w:val="both"/>
      </w:pPr>
      <w:r w:rsidR="01DBAC56">
        <w:rPr/>
        <w:t xml:space="preserve">Ilhéus apresenta receita per capita ~26% maior que Vitória da Conquista (R$ 4.296 </w:t>
      </w:r>
      <w:r w:rsidR="01DBAC56">
        <w:rPr/>
        <w:t>vs</w:t>
      </w:r>
      <w:r w:rsidR="01DBAC56">
        <w:rPr/>
        <w:t xml:space="preserve"> R$ 3.408), mesmo sendo uma cidade menor. Isso reflete maior arrecadação relativa ao tamanho populacional. Em gasto com saúde e educação per capita, os dois municípios convergiram ao longo da série, VCA gasta levemente mais em saúde (R$ 880 </w:t>
      </w:r>
      <w:r w:rsidR="01DBAC56">
        <w:rPr/>
        <w:t>vs</w:t>
      </w:r>
      <w:r w:rsidR="01DBAC56">
        <w:rPr/>
        <w:t xml:space="preserve"> R$ 835) e os gastos em educação são praticamente idênticos (~R$ 1.085).</w:t>
      </w:r>
    </w:p>
    <w:p w:rsidR="4D2BE16C" w:rsidP="0D98CDEE" w:rsidRDefault="4D2BE16C" w14:paraId="22827F51" w14:textId="7CF4C994">
      <w:pPr>
        <w:pStyle w:val="Normal"/>
        <w:jc w:val="both"/>
      </w:pPr>
    </w:p>
    <w:p w:rsidR="4D2BE16C" w:rsidP="4D2BE16C" w:rsidRDefault="4D2BE16C" w14:paraId="26C417AB" w14:textId="3EFFD91E">
      <w:pPr>
        <w:pStyle w:val="Normal"/>
        <w:jc w:val="left"/>
      </w:pPr>
    </w:p>
    <w:p w:rsidR="4D2BE16C" w:rsidP="4D2BE16C" w:rsidRDefault="4D2BE16C" w14:paraId="223539AC" w14:textId="25F731EF">
      <w:pPr>
        <w:pStyle w:val="Normal"/>
        <w:spacing w:line="240" w:lineRule="auto"/>
        <w:jc w:val="left"/>
      </w:pPr>
    </w:p>
    <w:p w:rsidR="4D2BE16C" w:rsidP="4D2BE16C" w:rsidRDefault="4D2BE16C" w14:paraId="744FF7EB" w14:textId="73FD5843">
      <w:pPr>
        <w:pStyle w:val="Normal"/>
        <w:spacing w:line="240" w:lineRule="auto"/>
        <w:jc w:val="left"/>
      </w:pPr>
      <w:r w:rsidR="7800F09D">
        <w:rPr/>
        <w:t xml:space="preserve">9) </w:t>
      </w:r>
      <w:hyperlink r:id="R89004b3ef3294883">
        <w:r w:rsidRPr="6F8F8A52" w:rsidR="7800F09D">
          <w:rPr>
            <w:rStyle w:val="Hyperlink"/>
          </w:rPr>
          <w:t>file:///C:/Users/gabri/Downloads/falha_mercado_educacao_vca_ilheus.html</w:t>
        </w:r>
      </w:hyperlink>
    </w:p>
    <w:p w:rsidR="43CBA4D0" w:rsidP="6F8F8A52" w:rsidRDefault="43CBA4D0" w14:paraId="40B580D6" w14:textId="5FBFE4F5">
      <w:pPr>
        <w:pStyle w:val="Normal"/>
        <w:jc w:val="both"/>
      </w:pPr>
      <w:r w:rsidR="43CBA4D0">
        <w:rPr/>
        <w:t>(caso não consiga acessar o link esse documento estará em anexo nos arquivos utilizados)</w:t>
      </w:r>
    </w:p>
    <w:p w:rsidR="6364ACD5" w:rsidP="6F8F8A52" w:rsidRDefault="6364ACD5" w14:paraId="54A66EAC" w14:textId="03AD4B79">
      <w:pPr>
        <w:pStyle w:val="Normal"/>
        <w:spacing w:line="240" w:lineRule="auto"/>
        <w:jc w:val="left"/>
      </w:pPr>
      <w:r w:rsidR="6364ACD5">
        <w:rPr/>
        <w:t>A escolha da educação como objeto de estudo é ideal porque ela é o exemplo mais nítido de falha de mercado por externalidade positiva. Quando alguém estuda, essa pessoa colhe benefícios individuais, como salários melhores, mas a sociedade acaba ganhando muito mais: a produtividade sobe, a criminalidade cai e o capital social da cidade se fortalece. O problema é que o mercado privado não coloca esses ganhos coletivos na conta e, por isso, acaba oferecendo menos educação do que o necessário. É aí que entra o papel do Estado, intervindo para tentar levar a oferta para o nível que seria o socialmente ótimo.</w:t>
      </w:r>
    </w:p>
    <w:p w:rsidR="6364ACD5" w:rsidP="6F8F8A52" w:rsidRDefault="6364ACD5" w14:paraId="37F065DC" w14:textId="653D2516">
      <w:pPr>
        <w:pStyle w:val="Normal"/>
        <w:spacing w:line="240" w:lineRule="auto"/>
        <w:jc w:val="left"/>
      </w:pPr>
      <w:r w:rsidR="6364ACD5">
        <w:rPr/>
        <w:t>Ao olharmos para os dados reais da planilha entre 2014 e 2023, os resultados são bem distintos entre as duas cidades. Vitória da Conquista surge como o caso de sucesso: o gasto real por aluno cresceu 51% no período, saindo de 721 reais para quase 1.100 reais em valores de hoje. O reflexo disso no IDEB foi impressionante, saltando de 3,9 para 5,6. A cidade começou atrás da média baiana e hoje está consideravelmente acima dela, o que mostra uma correlação muito forte entre o investimento e a melhora nos indicadores.</w:t>
      </w:r>
    </w:p>
    <w:p w:rsidR="6364ACD5" w:rsidP="6F8F8A52" w:rsidRDefault="6364ACD5" w14:paraId="6FE81ACC" w14:textId="55AA5F36">
      <w:pPr>
        <w:pStyle w:val="Normal"/>
        <w:spacing w:line="240" w:lineRule="auto"/>
        <w:jc w:val="left"/>
      </w:pPr>
      <w:r w:rsidR="6364ACD5">
        <w:rPr/>
        <w:t>Já Ilhéus traz um cenário que nos faz pensar. Curiosamente, o valor investido por habitante em 2023 é quase idêntico ao de Conquista (cerca de 1.090 reais para ambas), mas o resultado foi na contramão: o IDEB caiu de 4,6 para 4,1. Isso prova que o volume de dinheiro público é apenas uma parte da equação. A eficiência da gestão, o modo como a rede é organizada e os desafios sociais específicos de cada bairro influenciam tanto quanto o cheque assinado pela prefeitura.</w:t>
      </w:r>
    </w:p>
    <w:p w:rsidR="6364ACD5" w:rsidP="6F8F8A52" w:rsidRDefault="6364ACD5" w14:paraId="14443405" w14:textId="14775B8F">
      <w:pPr>
        <w:pStyle w:val="Normal"/>
        <w:spacing w:line="240" w:lineRule="auto"/>
        <w:jc w:val="left"/>
      </w:pPr>
      <w:r w:rsidR="6364ACD5">
        <w:rPr/>
        <w:t>Outro ponto fundamental que os dados revelam é a importância das transferências do governo federal e estadual. Cerca de 70% a 80% do que esses municípios arrecadam vem de repasses como o FUNDEB e o FPM. Sem esse mecanismo de redistribuição, cidades que não conseguem arrecadar muito imposto próprio ficariam presas em uma falha de mercado impossível de resolver, sem fôlego financeiro para oferecer uma educação pública decente. No fim das contas, a análise mostra que o gasto é o ponto de partida, mas a qualidade da gestão é o que realmente faz o ponteiro do IDEB se mexer.</w:t>
      </w:r>
    </w:p>
    <w:p w:rsidR="257B498C" w:rsidP="6F8F8A52" w:rsidRDefault="257B498C" w14:paraId="1F77522B" w14:textId="7222B0C8">
      <w:pPr>
        <w:pStyle w:val="Normal"/>
        <w:spacing w:line="240" w:lineRule="auto"/>
        <w:jc w:val="left"/>
      </w:pPr>
      <w:r w:rsidR="257B498C">
        <w:rPr/>
        <w:t>10)</w:t>
      </w:r>
      <w:r w:rsidR="0D4B2347">
        <w:rPr/>
        <w:t xml:space="preserve"> </w:t>
      </w:r>
      <w:hyperlink r:id="R2956a704e8684c73">
        <w:r w:rsidRPr="6F8F8A52" w:rsidR="0D4B2347">
          <w:rPr>
            <w:rStyle w:val="Hyperlink"/>
          </w:rPr>
          <w:t>file:///C:/Users/gabri/Downloads/diagnostico_fiscal_integrado_vca_ilheus.html</w:t>
        </w:r>
      </w:hyperlink>
    </w:p>
    <w:p w:rsidR="0D4B2347" w:rsidP="6F8F8A52" w:rsidRDefault="0D4B2347" w14:paraId="61DDBF03" w14:textId="00D30770">
      <w:pPr>
        <w:pStyle w:val="Normal"/>
        <w:spacing w:line="240" w:lineRule="auto"/>
        <w:jc w:val="left"/>
      </w:pPr>
      <w:r w:rsidR="0D4B2347">
        <w:rPr/>
        <w:t>O painel foi organizado em seis abas interativas para facilitar a navegação pelos dados coletados. Abaixo, detalho o que cada uma delas revela sobre a realidade financeira e social dessas cidades.</w:t>
      </w:r>
    </w:p>
    <w:p w:rsidR="0D4B2347" w:rsidP="6F8F8A52" w:rsidRDefault="0D4B2347" w14:paraId="0DACAF45" w14:textId="4C95D5DF">
      <w:pPr>
        <w:pStyle w:val="Normal"/>
        <w:spacing w:line="240" w:lineRule="auto"/>
        <w:jc w:val="left"/>
      </w:pPr>
      <w:r w:rsidR="0D4B2347">
        <w:rPr/>
        <w:t>Receitas: Nesta primeira aba, conseguimos visualizar como as receitas correntes reais evoluíram entre 2014 e 2023. O que mais chama a atenção nos gráficos de composição é a enorme dependência de transferências externas, que giram em torno de 72% para ambos os municípios. No entanto, também é possível notar um movimento positivo no crescimento da arrecadação de impostos próprios.</w:t>
      </w:r>
    </w:p>
    <w:p w:rsidR="0D4B2347" w:rsidP="6F8F8A52" w:rsidRDefault="0D4B2347" w14:paraId="4A7AD24F" w14:textId="4F55DF16">
      <w:pPr>
        <w:pStyle w:val="Normal"/>
        <w:spacing w:line="240" w:lineRule="auto"/>
        <w:jc w:val="left"/>
      </w:pPr>
      <w:r w:rsidR="0D4B2347">
        <w:rPr/>
        <w:t>Despesas: Aqui o foco é o equilíbrio das contas. A comparação entre o que entra e o que sai mostra que Vitória da Conquista manteve um histórico de equilíbrio praticamente perfeito. Já Ilhéus teve momentos mais delicados, com déficits registrados em 2018 e 2020. A aba também detalha como os gastos em saúde e educação acompanharam esse ritmo.</w:t>
      </w:r>
    </w:p>
    <w:p w:rsidR="0D4B2347" w:rsidP="6F8F8A52" w:rsidRDefault="0D4B2347" w14:paraId="34B25378" w14:textId="5A46DD37">
      <w:pPr>
        <w:pStyle w:val="Normal"/>
        <w:spacing w:line="240" w:lineRule="auto"/>
        <w:jc w:val="left"/>
      </w:pPr>
      <w:r w:rsidR="0D4B2347">
        <w:rPr/>
        <w:t>Educação e IDEB: Esta aba traz um dos diagnósticos mais importantes do estudo. Cruzamos a trajetória do IDEB das duas cidades com a média da Bahia. O gráfico de dispersão deixa claro que em Vitória da Conquista existe uma correlação positiva entre gastar mais e ter melhores notas. Por outro lado, em Ilhéus, essa correlação é inexistente, o que sinaliza um problema sério de ineficiência na hora de aplicar os recursos.</w:t>
      </w:r>
    </w:p>
    <w:p w:rsidR="0D4B2347" w:rsidP="6F8F8A52" w:rsidRDefault="0D4B2347" w14:paraId="3900F0D5" w14:textId="78546CBF">
      <w:pPr>
        <w:pStyle w:val="Normal"/>
        <w:spacing w:line="240" w:lineRule="auto"/>
        <w:jc w:val="left"/>
      </w:pPr>
      <w:r w:rsidR="0D4B2347">
        <w:rPr/>
        <w:t>Tributário</w:t>
      </w:r>
      <w:r w:rsidR="48363EFD">
        <w:rPr/>
        <w:t>:</w:t>
      </w:r>
      <w:r w:rsidR="0D4B2347">
        <w:rPr/>
        <w:t xml:space="preserve"> Focamos aqui no esforço fiscal de cada prefeitura, analisando especificamente o IPTU e o ISS. Os dados confirmam a análise anterior: as duas cidades ainda estão na fase de subida da Curva de Laffer. Isso significa que elas ainda conseguem aumentar a arrecadação própria sem sobrecarregar a economia local ao ponto de gerar perdas.</w:t>
      </w:r>
    </w:p>
    <w:p w:rsidR="0D4B2347" w:rsidP="6F8F8A52" w:rsidRDefault="0D4B2347" w14:paraId="6A5CA7DF" w14:textId="725F9573">
      <w:pPr>
        <w:pStyle w:val="Normal"/>
        <w:spacing w:line="240" w:lineRule="auto"/>
        <w:jc w:val="left"/>
      </w:pPr>
      <w:r w:rsidR="0D4B2347">
        <w:rPr/>
        <w:t>Austrália</w:t>
      </w:r>
      <w:r w:rsidR="1B60BF61">
        <w:rPr/>
        <w:t>:</w:t>
      </w:r>
      <w:r w:rsidR="0D4B2347">
        <w:rPr/>
        <w:t xml:space="preserve"> Utilizamos o caso australiano como uma referência internacional de boas práticas. Este painel mostra os indicadores de receita, despesa e dívida do governo geral da Austrália em relação ao PIB. É interessante observar como eles lidaram com o choque da pandemia em 2020 e a velocidade com que conseguiram colocar as contas em ordem depois, servindo de inspiração institucional para o nosso modelo.</w:t>
      </w:r>
    </w:p>
    <w:p w:rsidR="0D4B2347" w:rsidP="6F8F8A52" w:rsidRDefault="0D4B2347" w14:paraId="7F0E97EB" w14:textId="70866A87">
      <w:pPr>
        <w:pStyle w:val="Normal"/>
        <w:spacing w:line="240" w:lineRule="auto"/>
        <w:jc w:val="left"/>
      </w:pPr>
      <w:r w:rsidR="0D4B2347">
        <w:rPr/>
        <w:t>Diagnóstico Final A última aba funciona como um grande fechamento. Ela traz uma tabela síntese com todas as dimensões avaliadas lado a lado, destacando os pontos críticos de cada município. Além disso, apresentamos recomendações estratégicas baseadas na experiência da Austrália, especialmente sobre a importância de criar reservas para tempos difíceis e fortalecer a autonomia financeira local.</w:t>
      </w:r>
    </w:p>
    <w:p w:rsidR="6F8F8A52" w:rsidP="6F8F8A52" w:rsidRDefault="6F8F8A52" w14:paraId="784AB4F9" w14:textId="698D16C3">
      <w:pPr>
        <w:pStyle w:val="Normal"/>
        <w:spacing w:line="240" w:lineRule="auto"/>
        <w:jc w:val="left"/>
      </w:pPr>
    </w:p>
    <w:p w:rsidR="4EC74ADD" w:rsidP="6F8F8A52" w:rsidRDefault="4EC74ADD" w14:paraId="041CC202" w14:textId="26E4FC9C">
      <w:pPr>
        <w:pStyle w:val="Normal"/>
        <w:spacing w:line="240" w:lineRule="auto"/>
        <w:jc w:val="left"/>
      </w:pPr>
      <w:r w:rsidR="4EC74ADD">
        <w:rPr/>
        <w:t xml:space="preserve">Outras fontes utilizadas para dar embasamento teórico nas respostas das questões: </w:t>
      </w:r>
    </w:p>
    <w:p w:rsidR="6F8F8A52" w:rsidP="6F8F8A52" w:rsidRDefault="6F8F8A52" w14:paraId="2BE2FD42" w14:textId="4E3658A9">
      <w:pPr>
        <w:pStyle w:val="Normal"/>
        <w:spacing w:line="240" w:lineRule="auto"/>
        <w:jc w:val="left"/>
      </w:pPr>
    </w:p>
    <w:p w:rsidR="371C10B6" w:rsidP="6F8F8A52" w:rsidRDefault="371C10B6" w14:paraId="08D37E9F" w14:textId="6F5F6CD4">
      <w:pPr>
        <w:pStyle w:val="Normal"/>
        <w:spacing w:line="240" w:lineRule="auto"/>
        <w:jc w:val="left"/>
      </w:pPr>
      <w:r w:rsidRPr="6F8F8A52" w:rsidR="371C10B6">
        <w:rPr>
          <w:rFonts w:ascii="Aptos" w:hAnsi="Aptos" w:eastAsia="Aptos" w:cs="Aptos"/>
          <w:noProof w:val="0"/>
          <w:sz w:val="24"/>
          <w:szCs w:val="24"/>
          <w:lang w:val="pt-BR"/>
        </w:rPr>
        <w:t>Planejamento e orçamento governamental, James Giacomoni e José Luiz Pagnussat</w:t>
      </w:r>
    </w:p>
    <w:p w:rsidR="371C10B6" w:rsidP="6F8F8A52" w:rsidRDefault="371C10B6" w14:paraId="4316FA0F" w14:textId="22023A7D">
      <w:pPr>
        <w:pStyle w:val="Normal"/>
        <w:spacing w:line="240" w:lineRule="auto"/>
        <w:jc w:val="left"/>
      </w:pPr>
      <w:hyperlink r:id="R236f89be316d4698">
        <w:r w:rsidRPr="6F8F8A52" w:rsidR="371C10B6">
          <w:rPr>
            <w:rStyle w:val="Hyperlink"/>
          </w:rPr>
          <w:t>https://repositorio.enap.gov.br/bitstream/1/877/1/Colet%C3%A2nea%20Planejamento%20e%20Or%C3%A7amento%20-%20Temas%20e%20quest%C3%B5es%20sobre%20a%20gest%C3%A3o%20da%20despesa%20p%C3%BAblica.pdf</w:t>
        </w:r>
      </w:hyperlink>
    </w:p>
    <w:p w:rsidR="38EB4839" w:rsidP="6F8F8A52" w:rsidRDefault="38EB4839" w14:paraId="217BFC96" w14:textId="039FD92A">
      <w:pPr>
        <w:pStyle w:val="Normal"/>
        <w:spacing w:line="240" w:lineRule="auto"/>
        <w:jc w:val="left"/>
      </w:pPr>
      <w:r w:rsidRPr="6F8F8A52" w:rsidR="38EB4839">
        <w:rPr>
          <w:rFonts w:ascii="Arial" w:hAnsi="Arial" w:eastAsia="Arial" w:cs="Arial"/>
          <w:b w:val="0"/>
          <w:bCs w:val="0"/>
          <w:strike w:val="0"/>
          <w:dstrike w:val="0"/>
          <w:noProof w:val="0"/>
          <w:sz w:val="24"/>
          <w:szCs w:val="24"/>
          <w:u w:val="none"/>
          <w:lang w:val="pt-BR"/>
        </w:rPr>
        <w:t>O Plano Diretor de Reforma do Aparelho do Estado (PDRAE)</w:t>
      </w:r>
      <w:r w:rsidRPr="6F8F8A52" w:rsidR="38EB4839">
        <w:rPr>
          <w:rFonts w:ascii="Aptos" w:hAnsi="Aptos" w:eastAsia="Aptos" w:cs="Aptos"/>
          <w:b w:val="0"/>
          <w:bCs w:val="0"/>
          <w:noProof w:val="0"/>
          <w:sz w:val="24"/>
          <w:szCs w:val="24"/>
          <w:lang w:val="pt-BR"/>
        </w:rPr>
        <w:t xml:space="preserve"> de 1995  </w:t>
      </w:r>
      <w:hyperlink r:id="R17718fa9a0164c8d">
        <w:r w:rsidRPr="6F8F8A52" w:rsidR="38EB4839">
          <w:rPr>
            <w:rStyle w:val="Hyperlink"/>
            <w:rFonts w:ascii="Aptos" w:hAnsi="Aptos" w:eastAsia="Aptos" w:cs="Aptos"/>
            <w:b w:val="0"/>
            <w:bCs w:val="0"/>
            <w:noProof w:val="0"/>
            <w:sz w:val="24"/>
            <w:szCs w:val="24"/>
            <w:lang w:val="pt-BR"/>
          </w:rPr>
          <w:t>file:///C:/Users/gabri/OneDrive/Documentos/FSP_P1/PDRAE_1995.pdf</w:t>
        </w:r>
      </w:hyperlink>
    </w:p>
    <w:p w:rsidR="38EB4839" w:rsidP="6F8F8A52" w:rsidRDefault="38EB4839" w14:paraId="75D01945" w14:textId="14E1B484">
      <w:pPr>
        <w:pStyle w:val="Normal"/>
        <w:spacing w:line="240" w:lineRule="auto"/>
        <w:jc w:val="left"/>
      </w:pPr>
      <w:r w:rsidRPr="6F8F8A52" w:rsidR="38EB4839">
        <w:rPr>
          <w:rFonts w:ascii="Aptos" w:hAnsi="Aptos" w:eastAsia="Aptos" w:cs="Aptos"/>
          <w:noProof w:val="0"/>
          <w:sz w:val="24"/>
          <w:szCs w:val="24"/>
          <w:lang w:val="pt-BR"/>
        </w:rPr>
        <w:t xml:space="preserve">ESTADO, ESTADO-NAÇÃO E FORMAS DE INTERMEDIAÇÃO </w:t>
      </w:r>
      <w:r w:rsidRPr="6F8F8A52" w:rsidR="38EB4839">
        <w:rPr>
          <w:rFonts w:ascii="Aptos" w:hAnsi="Aptos" w:eastAsia="Aptos" w:cs="Aptos"/>
          <w:noProof w:val="0"/>
          <w:sz w:val="24"/>
          <w:szCs w:val="24"/>
          <w:lang w:val="pt-BR"/>
        </w:rPr>
        <w:t>POLÍTICA,  Luiz</w:t>
      </w:r>
      <w:r w:rsidRPr="6F8F8A52" w:rsidR="38EB4839">
        <w:rPr>
          <w:rFonts w:ascii="Aptos" w:hAnsi="Aptos" w:eastAsia="Aptos" w:cs="Aptos"/>
          <w:noProof w:val="0"/>
          <w:sz w:val="24"/>
          <w:szCs w:val="24"/>
          <w:lang w:val="pt-BR"/>
        </w:rPr>
        <w:t xml:space="preserve"> Carlos Bresser-Pereira  </w:t>
      </w:r>
      <w:hyperlink r:id="R1119502342c24c74">
        <w:r w:rsidRPr="6F8F8A52" w:rsidR="38EB4839">
          <w:rPr>
            <w:rStyle w:val="Hyperlink"/>
            <w:rFonts w:ascii="Aptos" w:hAnsi="Aptos" w:eastAsia="Aptos" w:cs="Aptos"/>
            <w:noProof w:val="0"/>
            <w:sz w:val="24"/>
            <w:szCs w:val="24"/>
            <w:lang w:val="pt-BR"/>
          </w:rPr>
          <w:t>file:///C:/Users/gabri/OneDrive/Documentos/FSP_P1/2017_Bresser-Pereira_ESTADO,%20ESTADO-NA%C3%87%C3%83O%20E%20FORMAS%20DE%20(1).pdf</w:t>
        </w:r>
      </w:hyperlink>
    </w:p>
    <w:p w:rsidR="4D2BE16C" w:rsidP="4D2BE16C" w:rsidRDefault="4D2BE16C" w14:paraId="0C3E6552" w14:textId="576564FC">
      <w:pPr>
        <w:pStyle w:val="Normal"/>
        <w:jc w:val="left"/>
        <w:rPr>
          <w:sz w:val="24"/>
          <w:szCs w:val="24"/>
          <w:lang w:val="en-US"/>
        </w:rPr>
      </w:pPr>
      <w:r>
        <w:br/>
      </w:r>
    </w:p>
    <w:p w:rsidR="4D2BE16C" w:rsidP="4D2BE16C" w:rsidRDefault="4D2BE16C" w14:paraId="1723A59D" w14:textId="6CE30F88">
      <w:pPr>
        <w:pStyle w:val="Normal"/>
      </w:pPr>
    </w:p>
    <w:p w:rsidR="4D2BE16C" w:rsidP="4D2BE16C" w:rsidRDefault="4D2BE16C" w14:paraId="240B8CBE" w14:textId="2510C6B7">
      <w:pPr>
        <w:pStyle w:val="Normal"/>
      </w:pPr>
    </w:p>
    <w:p w:rsidR="4D2BE16C" w:rsidP="4D2BE16C" w:rsidRDefault="4D2BE16C" w14:paraId="17AEEBA9" w14:textId="1B905EA2">
      <w:pPr>
        <w:pStyle w:val="Normal"/>
      </w:pPr>
    </w:p>
    <w:p w:rsidR="4D2BE16C" w:rsidP="4D2BE16C" w:rsidRDefault="4D2BE16C" w14:paraId="0FC983CF" w14:textId="7BF3CCCB">
      <w:pPr>
        <w:pStyle w:val="Normal"/>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RxS0slRqNs0RG" int2:id="IpSNlWmY">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662b2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5d7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9ae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b30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343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fdd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74d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9b1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c818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7096a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A8B519"/>
    <w:rsid w:val="00713896"/>
    <w:rsid w:val="00D7799D"/>
    <w:rsid w:val="00E7B492"/>
    <w:rsid w:val="016A8665"/>
    <w:rsid w:val="01DBAC56"/>
    <w:rsid w:val="024700B1"/>
    <w:rsid w:val="02C3D03A"/>
    <w:rsid w:val="0362615B"/>
    <w:rsid w:val="0375E95B"/>
    <w:rsid w:val="04AE5F24"/>
    <w:rsid w:val="05961E83"/>
    <w:rsid w:val="05C02187"/>
    <w:rsid w:val="065EFE33"/>
    <w:rsid w:val="075382C5"/>
    <w:rsid w:val="075382C5"/>
    <w:rsid w:val="0A346FB1"/>
    <w:rsid w:val="0A3D7E30"/>
    <w:rsid w:val="0B624E68"/>
    <w:rsid w:val="0BE2B6D0"/>
    <w:rsid w:val="0CA0AC71"/>
    <w:rsid w:val="0D4B2347"/>
    <w:rsid w:val="0D98CDEE"/>
    <w:rsid w:val="0F0A3654"/>
    <w:rsid w:val="0FC357FF"/>
    <w:rsid w:val="1073938B"/>
    <w:rsid w:val="10825921"/>
    <w:rsid w:val="1196CECE"/>
    <w:rsid w:val="11BEC803"/>
    <w:rsid w:val="11BEC803"/>
    <w:rsid w:val="130DA86A"/>
    <w:rsid w:val="140D8D7A"/>
    <w:rsid w:val="147C6993"/>
    <w:rsid w:val="160BD46C"/>
    <w:rsid w:val="160BD46C"/>
    <w:rsid w:val="16DD47AB"/>
    <w:rsid w:val="17FB7680"/>
    <w:rsid w:val="182C72EA"/>
    <w:rsid w:val="1995DBC6"/>
    <w:rsid w:val="19B30901"/>
    <w:rsid w:val="1A5F0B60"/>
    <w:rsid w:val="1AFB6134"/>
    <w:rsid w:val="1B1B8A51"/>
    <w:rsid w:val="1B60BF61"/>
    <w:rsid w:val="1C409A11"/>
    <w:rsid w:val="1DC5080D"/>
    <w:rsid w:val="1E4196DB"/>
    <w:rsid w:val="1E4B24F8"/>
    <w:rsid w:val="1FAB4F92"/>
    <w:rsid w:val="202DF873"/>
    <w:rsid w:val="20DBDD26"/>
    <w:rsid w:val="20E5469D"/>
    <w:rsid w:val="218658EF"/>
    <w:rsid w:val="2234E9E3"/>
    <w:rsid w:val="240A535C"/>
    <w:rsid w:val="246B36F0"/>
    <w:rsid w:val="256E64D7"/>
    <w:rsid w:val="257B498C"/>
    <w:rsid w:val="26234582"/>
    <w:rsid w:val="265B0725"/>
    <w:rsid w:val="2674C861"/>
    <w:rsid w:val="2677665A"/>
    <w:rsid w:val="27073AFB"/>
    <w:rsid w:val="27FC1A55"/>
    <w:rsid w:val="2881EAF3"/>
    <w:rsid w:val="29D54633"/>
    <w:rsid w:val="2A1085F6"/>
    <w:rsid w:val="2A53AC6F"/>
    <w:rsid w:val="2A59EE7C"/>
    <w:rsid w:val="2AB597BA"/>
    <w:rsid w:val="2BA8B519"/>
    <w:rsid w:val="2BB7C047"/>
    <w:rsid w:val="2C744BF1"/>
    <w:rsid w:val="2D2339C7"/>
    <w:rsid w:val="2E6F3E71"/>
    <w:rsid w:val="2E825A99"/>
    <w:rsid w:val="2F4319A6"/>
    <w:rsid w:val="2F63F3C5"/>
    <w:rsid w:val="2FBAAE18"/>
    <w:rsid w:val="2FED6BB9"/>
    <w:rsid w:val="31F13696"/>
    <w:rsid w:val="32129D7C"/>
    <w:rsid w:val="3217B6AD"/>
    <w:rsid w:val="32B4D640"/>
    <w:rsid w:val="33AAD019"/>
    <w:rsid w:val="33C7CA85"/>
    <w:rsid w:val="33F316B1"/>
    <w:rsid w:val="346C1A00"/>
    <w:rsid w:val="349953A6"/>
    <w:rsid w:val="35772908"/>
    <w:rsid w:val="358D857D"/>
    <w:rsid w:val="363AB8EA"/>
    <w:rsid w:val="36A528AA"/>
    <w:rsid w:val="37176323"/>
    <w:rsid w:val="371C10B6"/>
    <w:rsid w:val="372EBE64"/>
    <w:rsid w:val="373FA0B9"/>
    <w:rsid w:val="37920BFA"/>
    <w:rsid w:val="37AB3769"/>
    <w:rsid w:val="37F470BA"/>
    <w:rsid w:val="3849B0F2"/>
    <w:rsid w:val="38EB4839"/>
    <w:rsid w:val="3957B23B"/>
    <w:rsid w:val="396F8D01"/>
    <w:rsid w:val="39BEB594"/>
    <w:rsid w:val="3BA5837B"/>
    <w:rsid w:val="3BC315C4"/>
    <w:rsid w:val="3C92C5AD"/>
    <w:rsid w:val="3CE2C452"/>
    <w:rsid w:val="3CEF7C4A"/>
    <w:rsid w:val="3DB375B6"/>
    <w:rsid w:val="3DB98A67"/>
    <w:rsid w:val="3E3FFDC3"/>
    <w:rsid w:val="3E78B46B"/>
    <w:rsid w:val="3EB97E5B"/>
    <w:rsid w:val="3ED44240"/>
    <w:rsid w:val="3ED7FD0C"/>
    <w:rsid w:val="3EF1E32C"/>
    <w:rsid w:val="3F4DC719"/>
    <w:rsid w:val="3FC2D622"/>
    <w:rsid w:val="407D817B"/>
    <w:rsid w:val="409F77B3"/>
    <w:rsid w:val="40F4F7E7"/>
    <w:rsid w:val="41BB835A"/>
    <w:rsid w:val="41D02A29"/>
    <w:rsid w:val="427B4ACC"/>
    <w:rsid w:val="4296E88B"/>
    <w:rsid w:val="42ED52B3"/>
    <w:rsid w:val="430158AC"/>
    <w:rsid w:val="43CBA4D0"/>
    <w:rsid w:val="44667489"/>
    <w:rsid w:val="447B1EEF"/>
    <w:rsid w:val="44BE885C"/>
    <w:rsid w:val="44EB7055"/>
    <w:rsid w:val="44EC6A92"/>
    <w:rsid w:val="45C6ABC8"/>
    <w:rsid w:val="4621763B"/>
    <w:rsid w:val="47289C40"/>
    <w:rsid w:val="48363EFD"/>
    <w:rsid w:val="486E6131"/>
    <w:rsid w:val="4928728D"/>
    <w:rsid w:val="4928728D"/>
    <w:rsid w:val="4981C0E3"/>
    <w:rsid w:val="49AC74E3"/>
    <w:rsid w:val="49D13AA0"/>
    <w:rsid w:val="4ACC3619"/>
    <w:rsid w:val="4B33AC1C"/>
    <w:rsid w:val="4CCBE212"/>
    <w:rsid w:val="4D2BE16C"/>
    <w:rsid w:val="4D2EBC5A"/>
    <w:rsid w:val="4D7F377F"/>
    <w:rsid w:val="4D9BEA29"/>
    <w:rsid w:val="4D9BEA29"/>
    <w:rsid w:val="4EC74ADD"/>
    <w:rsid w:val="4ED8C979"/>
    <w:rsid w:val="4EEC3D42"/>
    <w:rsid w:val="4EF9CCBF"/>
    <w:rsid w:val="502D8595"/>
    <w:rsid w:val="50935F35"/>
    <w:rsid w:val="50A722F2"/>
    <w:rsid w:val="51232A66"/>
    <w:rsid w:val="515B997A"/>
    <w:rsid w:val="526E1330"/>
    <w:rsid w:val="531AD1C7"/>
    <w:rsid w:val="53CC1041"/>
    <w:rsid w:val="53E37CD1"/>
    <w:rsid w:val="542E2548"/>
    <w:rsid w:val="545CD7DD"/>
    <w:rsid w:val="54D8136D"/>
    <w:rsid w:val="54DA27F8"/>
    <w:rsid w:val="54E330F8"/>
    <w:rsid w:val="552AEFFB"/>
    <w:rsid w:val="5577432A"/>
    <w:rsid w:val="559AE5F9"/>
    <w:rsid w:val="5608C3CB"/>
    <w:rsid w:val="57137DB9"/>
    <w:rsid w:val="57155709"/>
    <w:rsid w:val="57A0189F"/>
    <w:rsid w:val="581F1F1C"/>
    <w:rsid w:val="5871578A"/>
    <w:rsid w:val="5A2F187F"/>
    <w:rsid w:val="5A997C30"/>
    <w:rsid w:val="5ADFB4A9"/>
    <w:rsid w:val="5DD42242"/>
    <w:rsid w:val="5DFADFAC"/>
    <w:rsid w:val="5E36D863"/>
    <w:rsid w:val="5E68CDB4"/>
    <w:rsid w:val="5EF13812"/>
    <w:rsid w:val="5F671E77"/>
    <w:rsid w:val="5FCCB7C3"/>
    <w:rsid w:val="6016AD1E"/>
    <w:rsid w:val="613487D8"/>
    <w:rsid w:val="6214FEBA"/>
    <w:rsid w:val="6245C59F"/>
    <w:rsid w:val="6262177D"/>
    <w:rsid w:val="6310C42A"/>
    <w:rsid w:val="6334D1C9"/>
    <w:rsid w:val="6364ACD5"/>
    <w:rsid w:val="638714A5"/>
    <w:rsid w:val="648BFB6B"/>
    <w:rsid w:val="649D7FC8"/>
    <w:rsid w:val="64D20797"/>
    <w:rsid w:val="65BECBAD"/>
    <w:rsid w:val="667A9CCA"/>
    <w:rsid w:val="66D30E8E"/>
    <w:rsid w:val="6728B1A5"/>
    <w:rsid w:val="67A31DA5"/>
    <w:rsid w:val="67A31DA5"/>
    <w:rsid w:val="687BD809"/>
    <w:rsid w:val="6A8EC352"/>
    <w:rsid w:val="6AA0B8F9"/>
    <w:rsid w:val="6B52A6F5"/>
    <w:rsid w:val="6C9367BA"/>
    <w:rsid w:val="6CB0A95C"/>
    <w:rsid w:val="6EDB88B6"/>
    <w:rsid w:val="6F8F8A52"/>
    <w:rsid w:val="7047F39B"/>
    <w:rsid w:val="70A2C1E1"/>
    <w:rsid w:val="713096F4"/>
    <w:rsid w:val="7134C036"/>
    <w:rsid w:val="71C6E801"/>
    <w:rsid w:val="7236B563"/>
    <w:rsid w:val="73012B8F"/>
    <w:rsid w:val="732E28DA"/>
    <w:rsid w:val="73BE1224"/>
    <w:rsid w:val="74156D3B"/>
    <w:rsid w:val="743631C0"/>
    <w:rsid w:val="7436C90A"/>
    <w:rsid w:val="74BAD5EF"/>
    <w:rsid w:val="75972513"/>
    <w:rsid w:val="75A0C4E9"/>
    <w:rsid w:val="77221098"/>
    <w:rsid w:val="77D1784A"/>
    <w:rsid w:val="7800F09D"/>
    <w:rsid w:val="7953C83E"/>
    <w:rsid w:val="79880AB6"/>
    <w:rsid w:val="7A104B2D"/>
    <w:rsid w:val="7A475390"/>
    <w:rsid w:val="7A8EF4BB"/>
    <w:rsid w:val="7CCEEA3E"/>
    <w:rsid w:val="7E89B6DB"/>
    <w:rsid w:val="7F2A470D"/>
    <w:rsid w:val="7F7BEE0D"/>
    <w:rsid w:val="7FDB0D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85AC"/>
  <w15:chartTrackingRefBased/>
  <w15:docId w15:val="{377FF219-052B-412D-8A74-7DF7BE61CF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D2BE16C"/>
    <w:pPr>
      <w:spacing/>
      <w:ind w:left="720"/>
      <w:contextualSpacing/>
    </w:pPr>
  </w:style>
  <w:style w:type="character" w:styleId="Hyperlink">
    <w:uiPriority w:val="99"/>
    <w:name w:val="Hyperlink"/>
    <w:basedOn w:val="DefaultParagraphFont"/>
    <w:unhideWhenUsed/>
    <w:rsid w:val="4D2BE16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6F8F8A5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F8F8A5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a30d4b6dd05453f" /><Relationship Type="http://schemas.openxmlformats.org/officeDocument/2006/relationships/numbering" Target="numbering.xml" Id="R2dd54b4bd0244408" /><Relationship Type="http://schemas.openxmlformats.org/officeDocument/2006/relationships/image" Target="/media/image.png" Id="rId779737837" /><Relationship Type="http://schemas.openxmlformats.org/officeDocument/2006/relationships/image" Target="/media/image2.png" Id="rId817206633" /><Relationship Type="http://schemas.openxmlformats.org/officeDocument/2006/relationships/image" Target="/media/image3.png" Id="rId535441250" /><Relationship Type="http://schemas.openxmlformats.org/officeDocument/2006/relationships/image" Target="/media/image4.png" Id="rId369182837" /><Relationship Type="http://schemas.openxmlformats.org/officeDocument/2006/relationships/hyperlink" Target="https://siconfi.tesouro.gov.br/siconfi/index.jsf;jsessionid=TrC21Vch6My3LLaiX4opXC2T.node4" TargetMode="External" Id="Re59e0e5427d14806" /><Relationship Type="http://schemas.openxmlformats.org/officeDocument/2006/relationships/hyperlink" Target="https://siconfi.tesouro.gov.br/siconfi/index.jsf;jsessionid=TrC21Vch6My3LLaiX4opXC2T.node4" TargetMode="External" Id="R77f0e73ebd8e40dc" /><Relationship Type="http://schemas.openxmlformats.org/officeDocument/2006/relationships/hyperlink" Target="https://siconfi.tesouro.gov.br/siconfi/index.jsf;jsessionid=TrC21Vch6My3LLaiX4opXC2T.node4" TargetMode="External" Id="R5f927b50a2344122" /><Relationship Type="http://schemas.openxmlformats.org/officeDocument/2006/relationships/hyperlink" Target="https://siconfi.tesouro.gov.br/siconfi/index.jsf;jsessionid=TrC21Vch6My3LLaiX4opXC2T.node4" TargetMode="External" Id="Rde0539ccc7d84442" /><Relationship Type="http://schemas.openxmlformats.org/officeDocument/2006/relationships/hyperlink" Target="https://siconfi.tesouro.gov.br/siconfi/index.jsf;jsessionid=TrC21Vch6My3LLaiX4opXC2T.node4" TargetMode="External" Id="Ra85188068d1949a3" /><Relationship Type="http://schemas.openxmlformats.org/officeDocument/2006/relationships/hyperlink" Target="https://siconfi.tesouro.gov.br/siconfi/index.jsf;jsessionid=TrC21Vch6My3LLaiX4opXC2T.node4" TargetMode="External" Id="R54911cd0ccb848ff" /><Relationship Type="http://schemas.openxmlformats.org/officeDocument/2006/relationships/hyperlink" Target="https://siconfi.tesouro.gov.br/siconfi/index.jsf;jsessionid=TrC21Vch6My3LLaiX4opXC2T.node4" TargetMode="External" Id="R299c86d72fae412e" /><Relationship Type="http://schemas.openxmlformats.org/officeDocument/2006/relationships/hyperlink" Target="https://siconfi.tesouro.gov.br/siconfi/index.jsf;jsessionid=TrC21Vch6My3LLaiX4opXC2T.node4" TargetMode="External" Id="R125d7eb1bb624143" /><Relationship Type="http://schemas.openxmlformats.org/officeDocument/2006/relationships/hyperlink" Target="https://siconfi.tesouro.gov.br/siconfi/index.jsf;jsessionid=TrC21Vch6My3LLaiX4opXC2T.node4" TargetMode="External" Id="R1aafa047caf04e87" /><Relationship Type="http://schemas.openxmlformats.org/officeDocument/2006/relationships/hyperlink" Target="https://www3.bcb.gov.br/CALCIDADAO/publico/corrigirPorIndice.do?method=corrigirPorIndice" TargetMode="External" Id="R03d4dde71ff643f8" /><Relationship Type="http://schemas.openxmlformats.org/officeDocument/2006/relationships/hyperlink" Target="https://qedu.org.br/municipio/2933307-vitoria-da-conquista/ideb" TargetMode="External" Id="R248e2ac669174903" /><Relationship Type="http://schemas.openxmlformats.org/officeDocument/2006/relationships/hyperlink" Target="https://qedu.org.br/municipio/2913606-ilheus/ideb" TargetMode="External" Id="R28be756bd74148e1" /><Relationship Type="http://schemas.openxmlformats.org/officeDocument/2006/relationships/hyperlink" Target="https://cidades.ibge.gov.br/brasil/ba/ilheus/panorama" TargetMode="External" Id="R44412cc8cdb5428c" /><Relationship Type="http://schemas.openxmlformats.org/officeDocument/2006/relationships/hyperlink" Target="https://sidra.ibge.gov.br/tabela/5938" TargetMode="External" Id="Rc855c3263a974f95" /><Relationship Type="http://schemas.openxmlformats.org/officeDocument/2006/relationships/hyperlink" Target="https://www.imf.org/en/publications/weo/weo-database/2024/april" TargetMode="External" Id="Raa7d9c837a844c3c" /><Relationship Type="http://schemas.openxmlformats.org/officeDocument/2006/relationships/hyperlink" Target="https://www.rba.gov.au/calculator/annualDecimal.html" TargetMode="External" Id="Rdf065ef4b6e64199" /><Relationship Type="http://schemas.openxmlformats.org/officeDocument/2006/relationships/hyperlink" Target="file:///C:/Users/gabri/OneDrive/Documentos/FSP_P1/australia_indicadores_fiscais_2014_2023.html" TargetMode="External" Id="R465fd094a01f4591" /><Relationship Type="http://schemas.openxmlformats.org/officeDocument/2006/relationships/image" Target="/media/image5.png" Id="rId1112449956" /><Relationship Type="http://schemas.openxmlformats.org/officeDocument/2006/relationships/image" Target="/media/image6.png" Id="rId811957166" /><Relationship Type="http://schemas.openxmlformats.org/officeDocument/2006/relationships/hyperlink" Target="file:///C:/Users/gabri/OneDrive/Documentos/FSP_P1/mapa_tematico_per_capita_bahia.html" TargetMode="External" Id="Rcc20377d99674605" /><Relationship Type="http://schemas.openxmlformats.org/officeDocument/2006/relationships/hyperlink" Target="file:///C:/Users/gabri/Downloads/falha_mercado_educacao_vca_ilheus.html" TargetMode="External" Id="R89004b3ef3294883" /><Relationship Type="http://schemas.openxmlformats.org/officeDocument/2006/relationships/hyperlink" Target="file:///C:/Users/gabri/Downloads/diagnostico_fiscal_integrado_vca_ilheus.html" TargetMode="External" Id="R2956a704e8684c73" /><Relationship Type="http://schemas.openxmlformats.org/officeDocument/2006/relationships/hyperlink" Target="https://repositorio.enap.gov.br/bitstream/1/877/1/Colet%C3%A2nea%20Planejamento%20e%20Or%C3%A7amento%20-%20Temas%20e%20quest%C3%B5es%20sobre%20a%20gest%C3%A3o%20da%20despesa%20p%C3%BAblica.pdf" TargetMode="External" Id="R236f89be316d4698" /><Relationship Type="http://schemas.openxmlformats.org/officeDocument/2006/relationships/hyperlink" Target="file:///C:/Users/gabri/OneDrive/Documentos/FSP_P1/PDRAE_1995.pdf" TargetMode="External" Id="R17718fa9a0164c8d" /><Relationship Type="http://schemas.openxmlformats.org/officeDocument/2006/relationships/hyperlink" Target="file:///C:/Users/gabri/OneDrive/Documentos/FSP_P1/2017_Bresser-Pereira_ESTADO,%20ESTADO-NA%C3%87%C3%83O%20E%20FORMAS%20DE%20(1).pdf" TargetMode="External" Id="R1119502342c24c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2026-05-04T23:49:47.8878513Z</dcterms:created>
  <dcterms:modified xsi:type="dcterms:W3CDTF">2026-05-08T02:27:32.6125152Z</dcterms:modified>
  <dc:creator>Gabriel De Sousa Souto</dc:creator>
  <lastModifiedBy>Gabriel De Sousa Souto</lastModifiedBy>
</coreProperties>
</file>