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jc w:val="center"/>
      </w:pPr>
      <w:r>
        <w:rPr>
          <w:rFonts w:ascii="Arial" w:cs="Arial" w:eastAsia="Arial" w:hAnsi="Arial"/>
          <w:b/>
          <w:bCs/>
          <w:color w:val="1B4F72"/>
          <w:sz w:val="52"/>
          <w:szCs w:val="52"/>
        </w:rPr>
        <w:t xml:space="preserve">TANZANIA READMISSION INTELLIGENCE PLATFORM</w:t>
      </w:r>
    </w:p>
    <w:p>
      <w:pPr>
        <w:spacing w:before="0" w:after="60"/>
        <w:jc w:val="center"/>
      </w:pPr>
      <w:r>
        <w:rPr>
          <w:rFonts w:ascii="Arial" w:cs="Arial" w:eastAsia="Arial" w:hAnsi="Arial"/>
          <w:b/>
          <w:bCs/>
          <w:color w:val="D4AC0D"/>
          <w:sz w:val="80"/>
          <w:szCs w:val="80"/>
        </w:rPr>
        <w:t xml:space="preserve">TRIP</w:t>
      </w:r>
    </w:p>
    <w:p>
      <w:pPr>
        <w:pBdr>
          <w:bottom w:val="single" w:color="1B4F72" w:sz="4" w:space="1"/>
        </w:pBdr>
        <w:spacing w:before="80" w:after="80"/>
      </w:pPr>
    </w:p>
    <w:p>
      <w:pPr>
        <w:spacing w:before="80" w:after="40"/>
        <w:jc w:val="center"/>
      </w:pPr>
      <w:r>
        <w:rPr>
          <w:rFonts w:ascii="Arial" w:cs="Arial" w:eastAsia="Arial" w:hAnsi="Arial"/>
          <w:b/>
          <w:bCs/>
          <w:color w:val="1A7A50"/>
          <w:sz w:val="26"/>
          <w:szCs w:val="26"/>
        </w:rPr>
        <w:t xml:space="preserve">National Intelligence Layer — Architecture, Roles, Data Strategy &amp; Interoperability Blueprint</w:t>
      </w:r>
    </w:p>
    <w:p>
      <w:pPr>
        <w:spacing w:before="40" w:after="200"/>
        <w:jc w:val="center"/>
      </w:pPr>
      <w:r>
        <w:rPr>
          <w:rFonts w:ascii="Arial" w:cs="Arial" w:eastAsia="Arial" w:hAnsi="Arial"/>
          <w:color w:val="666666"/>
          <w:sz w:val="20"/>
          <w:szCs w:val="20"/>
        </w:rPr>
        <w:t xml:space="preserve">Strategic Planning Document  |  Version 1.0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B4F72"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Ministry of Health Tanzania</w:t>
            </w:r>
          </w:p>
        </w:tc>
        <w:tc>
          <w:tcPr>
            <w:tcBorders>
              <w:top w:val="single" w:color="CCCCCC" w:sz="1"/>
              <w:left w:val="single" w:color="CCCCCC" w:sz="1"/>
              <w:bottom w:val="single" w:color="CCCCCC" w:sz="1"/>
              <w:right w:val="single" w:color="CCCCCC" w:sz="1"/>
            </w:tcBorders>
            <w:shd w:fill="1A7A50"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National Digital Health Initiative</w:t>
            </w:r>
          </w:p>
        </w:tc>
      </w:tr>
    </w:tbl>
    <w:p>
      <w:r>
        <w:br w:type="page"/>
      </w:r>
    </w:p>
    <w:p>
      <w:pPr>
        <w:pStyle w:val="Heading1"/>
        <w:spacing w:before="320" w:after="160"/>
      </w:pPr>
      <w:r>
        <w:rPr>
          <w:rFonts w:ascii="Arial" w:cs="Arial" w:eastAsia="Arial" w:hAnsi="Arial"/>
          <w:b/>
          <w:bCs/>
          <w:color w:val="1B4F72"/>
          <w:sz w:val="40"/>
          <w:szCs w:val="40"/>
        </w:rPr>
        <w:t xml:space="preserve">1. Executive Summary</w:t>
      </w:r>
    </w:p>
    <w:p>
      <w:pPr>
        <w:spacing w:before="80" w:after="80"/>
      </w:pPr>
      <w:r>
        <w:rPr>
          <w:rFonts w:ascii="Arial" w:cs="Arial" w:eastAsia="Arial" w:hAnsi="Arial"/>
          <w:b w:val="false"/>
          <w:bCs w:val="false"/>
          <w:color w:val="1C1C1C"/>
          <w:sz w:val="22"/>
          <w:szCs w:val="22"/>
        </w:rPr>
        <w:t xml:space="preserve">Tanzania has made significant strides in digital health infrastructure — DHIS2 as the national HMIS backbone, GoT-HoMIS across more than 3,000 primary health care facilities, Afya eHMS across all 28 regional hospitals, and an emerging interoperability agenda under the Tanzania Digital Health Strategy 2025–2030. Yet a critical intelligence gap remains: no platform systematically predicts which patients are at risk of readmission, surfaces that risk at the point of clinical decision-making, or feeds actionable insights back to health managers at every level of the system.</w:t>
      </w:r>
    </w:p>
    <w:p>
      <w:pPr>
        <w:spacing w:before="80" w:after="80"/>
      </w:pPr>
      <w:r>
        <w:rPr>
          <w:rFonts w:ascii="Arial" w:cs="Arial" w:eastAsia="Arial" w:hAnsi="Arial"/>
          <w:b w:val="false"/>
          <w:bCs w:val="false"/>
          <w:color w:val="1C1C1C"/>
          <w:sz w:val="22"/>
          <w:szCs w:val="22"/>
        </w:rPr>
        <w:t xml:space="preserve">TRIP does not seek to replace GoT-HoMIS, Afya eHMS, DHIS2, or any existing system. Its positioning is singular: it is an AI and ML intelligence overlay — a decision support engine that reads data from existing platforms, processes it through clinically validated predictive models, and delivers structured, role-appropriate intelligence back to clinicians, facility managers, district health teams, regional authorities, and national planners.</w:t>
      </w:r>
    </w:p>
    <w:p>
      <w:pPr>
        <w:spacing w:before="80" w:after="80"/>
      </w:pPr>
      <w:r>
        <w:rPr>
          <w:rFonts w:ascii="Arial" w:cs="Arial" w:eastAsia="Arial" w:hAnsi="Arial"/>
          <w:b w:val="false"/>
          <w:bCs w:val="false"/>
          <w:color w:val="1C1C1C"/>
          <w:sz w:val="22"/>
          <w:szCs w:val="22"/>
        </w:rPr>
        <w:t xml:space="preserve">This document is the strategic and architectural blueprint governing four foundational dimensions of the platform:</w:t>
      </w:r>
    </w:p>
    <w:p>
      <w:pPr>
        <w:pStyle w:val="ListParagraph"/>
        <w:numPr>
          <w:ilvl w:val="0"/>
          <w:numId w:val="2"/>
        </w:numPr>
        <w:spacing w:before="40" w:after="40"/>
      </w:pPr>
      <w:r>
        <w:rPr>
          <w:rFonts w:ascii="Arial" w:cs="Arial" w:eastAsia="Arial" w:hAnsi="Arial"/>
          <w:color w:val="1C1C1C"/>
          <w:sz w:val="22"/>
          <w:szCs w:val="22"/>
        </w:rPr>
        <w:t xml:space="preserve">Data Sources — what data the platform needs, where it comes from, and how to operate validly in the absence of real credentials (the current state).</w:t>
      </w:r>
    </w:p>
    <w:p>
      <w:pPr>
        <w:pStyle w:val="ListParagraph"/>
        <w:numPr>
          <w:ilvl w:val="0"/>
          <w:numId w:val="2"/>
        </w:numPr>
        <w:spacing w:before="40" w:after="40"/>
      </w:pPr>
      <w:r>
        <w:rPr>
          <w:rFonts w:ascii="Arial" w:cs="Arial" w:eastAsia="Arial" w:hAnsi="Arial"/>
          <w:color w:val="1C1C1C"/>
          <w:sz w:val="22"/>
          <w:szCs w:val="22"/>
        </w:rPr>
        <w:t xml:space="preserve">Facility Management — how Tanzania's seven-tier health system hierarchy is modeled, how facilities register and onboard, and how data isolation and aggregation flow from dispensary to national level.</w:t>
      </w:r>
    </w:p>
    <w:p>
      <w:pPr>
        <w:pStyle w:val="ListParagraph"/>
        <w:numPr>
          <w:ilvl w:val="0"/>
          <w:numId w:val="2"/>
        </w:numPr>
        <w:spacing w:before="40" w:after="40"/>
      </w:pPr>
      <w:r>
        <w:rPr>
          <w:rFonts w:ascii="Arial" w:cs="Arial" w:eastAsia="Arial" w:hAnsi="Arial"/>
          <w:color w:val="1C1C1C"/>
          <w:sz w:val="22"/>
          <w:szCs w:val="22"/>
        </w:rPr>
        <w:t xml:space="preserve">Roles and Access Control — a definitive model of who sees individual patient data, who sees facility-level intelligence, and who sees population-level aggregates, aligned with Tanzania's actual workforce roles.</w:t>
      </w:r>
    </w:p>
    <w:p>
      <w:pPr>
        <w:pStyle w:val="ListParagraph"/>
        <w:numPr>
          <w:ilvl w:val="0"/>
          <w:numId w:val="2"/>
        </w:numPr>
        <w:spacing w:before="40" w:after="40"/>
      </w:pPr>
      <w:r>
        <w:rPr>
          <w:rFonts w:ascii="Arial" w:cs="Arial" w:eastAsia="Arial" w:hAnsi="Arial"/>
          <w:color w:val="1C1C1C"/>
          <w:sz w:val="22"/>
          <w:szCs w:val="22"/>
        </w:rPr>
        <w:t xml:space="preserve">Interoperability — how TRIP connects to GoT-HoMIS, Afya eHMS, DHIS2, the national Health Information Exchange, and the Master Facility Registry using open standards including HL7 FHIR and the OpenHIE architecture.</w:t>
      </w:r>
    </w:p>
    <w:p>
      <w:pPr>
        <w:spacing w:before="80" w:after="80"/>
      </w:pPr>
      <w:r>
        <w:rPr>
          <w:rFonts w:ascii="Arial" w:cs="Arial" w:eastAsia="Arial" w:hAnsi="Arial"/>
          <w:b w:val="false"/>
          <w:bCs w:val="false"/>
          <w:color w:val="1C1C1C"/>
          <w:sz w:val="22"/>
          <w:szCs w:val="22"/>
        </w:rPr>
        <w:t xml:space="preserve">A phased implementation roadmap closes the document, sequencing work from the current demo-data stage through to national deployment, grounded in what comparable world-class implementations — Epic's embedded readmission intelligence, Singapore's NEHR, and India's ABDM — demonstrate about what actually works at scale.</w:t>
      </w:r>
    </w:p>
    <w:p>
      <w:pPr>
        <w:shd w:fill="EAFAF1" w:val="clear"/>
        <w:spacing w:before="80" w:after="80"/>
        <w:ind w:left="360" w:right="360"/>
      </w:pPr>
      <w:r>
        <w:rPr>
          <w:rFonts w:ascii="Arial" w:cs="Arial" w:eastAsia="Arial" w:hAnsi="Arial"/>
          <w:color w:val="1B4F72"/>
          <w:sz w:val="20"/>
          <w:szCs w:val="20"/>
        </w:rPr>
        <w:t xml:space="preserve">Strategic Principle: Build the intelligence layer first. Prove it works with structured demo data. Acquire real data through established institutional channels. Integrate with existing systems rather than competing with them. Deploy progressively from highest-capacity facilities down to primary care.</w:t>
      </w:r>
    </w:p>
    <w:p>
      <w:r>
        <w:br w:type="page"/>
      </w:r>
    </w:p>
    <w:p>
      <w:pPr>
        <w:pStyle w:val="Heading1"/>
        <w:spacing w:before="320" w:after="160"/>
      </w:pPr>
      <w:r>
        <w:rPr>
          <w:rFonts w:ascii="Arial" w:cs="Arial" w:eastAsia="Arial" w:hAnsi="Arial"/>
          <w:b/>
          <w:bCs/>
          <w:color w:val="1B4F72"/>
          <w:sz w:val="40"/>
          <w:szCs w:val="40"/>
        </w:rPr>
        <w:t xml:space="preserve">2. Platform Positioning — The Intelligence Layer Model</w:t>
      </w:r>
    </w:p>
    <w:p>
      <w:pPr>
        <w:pStyle w:val="Heading2"/>
        <w:spacing w:before="240" w:after="100"/>
      </w:pPr>
      <w:r>
        <w:rPr>
          <w:rFonts w:ascii="Arial" w:cs="Arial" w:eastAsia="Arial" w:hAnsi="Arial"/>
          <w:b/>
          <w:bCs/>
          <w:color w:val="1A7A50"/>
          <w:sz w:val="30"/>
          <w:szCs w:val="30"/>
        </w:rPr>
        <w:t xml:space="preserve">2.1 What TRIP Is Not</w:t>
      </w:r>
    </w:p>
    <w:p>
      <w:pPr>
        <w:spacing w:before="80" w:after="80"/>
      </w:pPr>
      <w:r>
        <w:rPr>
          <w:rFonts w:ascii="Arial" w:cs="Arial" w:eastAsia="Arial" w:hAnsi="Arial"/>
          <w:b w:val="false"/>
          <w:bCs w:val="false"/>
          <w:color w:val="1C1C1C"/>
          <w:sz w:val="22"/>
          <w:szCs w:val="22"/>
        </w:rPr>
        <w:t xml:space="preserve">Tanzania already has functional systems for registration, billing, pharmacy, laboratory, and clinical documentation. Duplicating these functions would consume resources, fragment data further, and face justified resistance from an already burdened health workforce. TRIP is not an EMR. It is not a replacement for DHIS2. It is not a patient registration system.</w:t>
      </w:r>
    </w:p>
    <w:p>
      <w:pPr>
        <w:pStyle w:val="Heading2"/>
        <w:spacing w:before="240" w:after="100"/>
      </w:pPr>
      <w:r>
        <w:rPr>
          <w:rFonts w:ascii="Arial" w:cs="Arial" w:eastAsia="Arial" w:hAnsi="Arial"/>
          <w:b/>
          <w:bCs/>
          <w:color w:val="1A7A50"/>
          <w:sz w:val="30"/>
          <w:szCs w:val="30"/>
        </w:rPr>
        <w:t xml:space="preserve">2.2 What TRIP Is</w:t>
      </w:r>
    </w:p>
    <w:p>
      <w:pPr>
        <w:spacing w:before="80" w:after="80"/>
      </w:pPr>
      <w:r>
        <w:rPr>
          <w:rFonts w:ascii="Arial" w:cs="Arial" w:eastAsia="Arial" w:hAnsi="Arial"/>
          <w:b w:val="false"/>
          <w:bCs w:val="false"/>
          <w:color w:val="1C1C1C"/>
          <w:sz w:val="22"/>
          <w:szCs w:val="22"/>
        </w:rPr>
        <w:t xml:space="preserve">TRIP is a national clinical intelligence platform. It reads structured data from existing systems, applies ML models trained on Tanzania-relevant features, and surfaces predictive outputs — readmission risk scores, SHAP-explained risk drivers, care recommendations — inside the workflows of the people who can act on them. The analogy from world-class deployments is precise: Epic's readmission intelligence at Zuckerberg San Francisco General Hospital did not replace Epic — it added an ML-powered risk dashboard embedded within Epic's workflow. TRIP does the same for Tanzania's existing stack.</w:t>
      </w:r>
    </w:p>
    <w:p>
      <w:pPr>
        <w:pStyle w:val="Heading2"/>
        <w:spacing w:before="240" w:after="100"/>
      </w:pPr>
      <w:r>
        <w:rPr>
          <w:rFonts w:ascii="Arial" w:cs="Arial" w:eastAsia="Arial" w:hAnsi="Arial"/>
          <w:b/>
          <w:bCs/>
          <w:color w:val="1A7A50"/>
          <w:sz w:val="30"/>
          <w:szCs w:val="30"/>
        </w:rPr>
        <w:t xml:space="preserve">2.3 Core Value Propositions by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gridSpan w:val="1"/>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Audience</w:t>
            </w:r>
          </w:p>
        </w:tc>
        <w:tc>
          <w:tcPr>
            <w:gridSpan w:val="1"/>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Current Pain</w:t>
            </w:r>
          </w:p>
        </w:tc>
        <w:tc>
          <w:tcPr>
            <w:gridSpan w:val="1"/>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TRIP Value</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Clinician at discharge</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No systematic way to identify high-risk patients before they leave</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Risk score + top 3 SHAP drivers at discharge workflow</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Ward Nurse / Officer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Informal handover, no structured readmission flag</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Readmission flag visible in patient record during round</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Facility Manager</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No real-time readmission rate dashboard</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Facility-level readmission analytics, trend lines, outlier alerts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District Medical Officer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No cross-facility readmission data at district level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District rollup: which facilities have highest readmission burden</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Regional Medical Officer</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Regional performance invisible without manual collation</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Regional intelligence dashboard, facility benchmarking</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MoH / National Planner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National readmission data non-existent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National readmission burden map, policy simulation tools</w:t>
            </w:r>
          </w:p>
        </w:tc>
      </w:tr>
    </w:tbl>
    <w:p>
      <w:r>
        <w:br w:type="page"/>
      </w:r>
    </w:p>
    <w:p>
      <w:pPr>
        <w:pStyle w:val="Heading1"/>
        <w:spacing w:before="320" w:after="160"/>
      </w:pPr>
      <w:r>
        <w:rPr>
          <w:rFonts w:ascii="Arial" w:cs="Arial" w:eastAsia="Arial" w:hAnsi="Arial"/>
          <w:b/>
          <w:bCs/>
          <w:color w:val="1B4F72"/>
          <w:sz w:val="40"/>
          <w:szCs w:val="40"/>
        </w:rPr>
        <w:t xml:space="preserve">3. Tanzania Health System Hierarchy — The Structural Foundation</w:t>
      </w:r>
    </w:p>
    <w:p>
      <w:pPr>
        <w:spacing w:before="80" w:after="80"/>
      </w:pPr>
      <w:r>
        <w:rPr>
          <w:rFonts w:ascii="Arial" w:cs="Arial" w:eastAsia="Arial" w:hAnsi="Arial"/>
          <w:b w:val="false"/>
          <w:bCs w:val="false"/>
          <w:color w:val="1C1C1C"/>
          <w:sz w:val="22"/>
          <w:szCs w:val="22"/>
        </w:rPr>
        <w:t xml:space="preserve">Tanzania's health system operates on a constitutionally and administratively defined hierarchical structure, aligned with the country's political-administrative divisions. This structure is the data governance and access control architecture for TRIP. Every facility, every user, every data record, and every dashboard view is anchored within this hierarchy.</w:t>
      </w:r>
    </w:p>
    <w:p>
      <w:pPr>
        <w:pStyle w:val="Heading2"/>
        <w:spacing w:before="240" w:after="100"/>
      </w:pPr>
      <w:r>
        <w:rPr>
          <w:rFonts w:ascii="Arial" w:cs="Arial" w:eastAsia="Arial" w:hAnsi="Arial"/>
          <w:b/>
          <w:bCs/>
          <w:color w:val="1A7A50"/>
          <w:sz w:val="30"/>
          <w:szCs w:val="30"/>
        </w:rPr>
        <w:t xml:space="preserve">3.1 The Seven-Tier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2280"/>
        <w:gridCol w:w="2280"/>
      </w:tblGrid>
      <w:tr>
        <w:tc>
          <w:tcPr>
            <w:gridSpan w:val="1"/>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Tier</w:t>
            </w:r>
          </w:p>
        </w:tc>
        <w:tc>
          <w:tcPr>
            <w:gridSpan w:val="1"/>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Facility Type</w:t>
            </w:r>
          </w:p>
        </w:tc>
        <w:tc>
          <w:tcPr>
            <w:gridSpan w:val="1"/>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Administrative Level</w:t>
            </w:r>
          </w:p>
        </w:tc>
        <w:tc>
          <w:tcPr>
            <w:gridSpan w:val="1"/>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EMR System (Current)</w:t>
            </w:r>
          </w:p>
        </w:tc>
        <w:tc>
          <w:tcPr>
            <w:gridSpan w:val="1"/>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Count (Approx.)</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1</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National Referral Hospital (MNH) + Specialized Hospitals</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National</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GIVA; specialized systems</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1 + 6 specialized</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Zonal Referral Hospitals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Zonal (6 zones)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Afya eHMS / E-Medical / Inaya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15 (6 govt, 4 FBO, 5 private)</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3</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Regional Referral Hospitals (RRH)</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Regional (31 regions)</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Afya eHMS</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62 (28 govt, 16 FBO, 18 private)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Council / District Hospitals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District / LGA level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GoT-HoMIS / Afya eHMS / Medipro</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351 (182 govt, 5 para, 101 FBO, 63 private)</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5</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Health Centres</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Ward level</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GoT-HoMIS</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~700 public HCs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6</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Dispensaries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Village level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GoT-HoMIS / paper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~3,500+ public dispensaries</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7</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Community Health Workers / VHWs</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Village / sub-village</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Paper / mobile apps</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Distributed nationally</w:t>
            </w:r>
          </w:p>
        </w:tc>
      </w:tr>
    </w:tbl>
    <w:p>
      <w:pPr>
        <w:pStyle w:val="Heading2"/>
        <w:spacing w:before="240" w:after="100"/>
      </w:pPr>
      <w:r>
        <w:rPr>
          <w:rFonts w:ascii="Arial" w:cs="Arial" w:eastAsia="Arial" w:hAnsi="Arial"/>
          <w:b/>
          <w:bCs/>
          <w:color w:val="1A7A50"/>
          <w:sz w:val="30"/>
          <w:szCs w:val="30"/>
        </w:rPr>
        <w:t xml:space="preserve">3.2 Referral Flow and Readmission Significance</w:t>
      </w:r>
    </w:p>
    <w:p>
      <w:pPr>
        <w:spacing w:before="80" w:after="80"/>
      </w:pPr>
      <w:r>
        <w:rPr>
          <w:rFonts w:ascii="Arial" w:cs="Arial" w:eastAsia="Arial" w:hAnsi="Arial"/>
          <w:b w:val="false"/>
          <w:bCs w:val="false"/>
          <w:color w:val="1C1C1C"/>
          <w:sz w:val="22"/>
          <w:szCs w:val="22"/>
        </w:rPr>
        <w:t xml:space="preserve">Patients travel upward through this hierarchy: a patient presenting at a dispensary with worsening malaria is referred to the health centre; if unresponsive, to the district hospital; if specialized care is needed, to the regional referral hospital. A "readmission" within TRIP's model is defined as any presentation at any facility within 30 days of a prior inpatient discharge — including cross-facility readmissions at the same or higher tier.</w:t>
      </w:r>
    </w:p>
    <w:p>
      <w:pPr>
        <w:spacing w:before="80" w:after="80"/>
      </w:pPr>
      <w:r>
        <w:rPr>
          <w:rFonts w:ascii="Arial" w:cs="Arial" w:eastAsia="Arial" w:hAnsi="Arial"/>
          <w:b w:val="false"/>
          <w:bCs w:val="false"/>
          <w:color w:val="1C1C1C"/>
          <w:sz w:val="22"/>
          <w:szCs w:val="22"/>
        </w:rPr>
        <w:t xml:space="preserve">This cross-facility readmission scenario is the defining challenge that no existing Tanzania system currently tracks. A patient discharged from Muhimbili National Hospital who is readmitted 18 days later at a regional hospital generates no alert in any current system. TRIP, operating above facility-level EMRs, is uniquely positioned to detect and flag these events — provided that the national patient identifier infrastructure (Tanzania's UPI effort) is in place or can be approximated.</w:t>
      </w:r>
    </w:p>
    <w:p>
      <w:pPr>
        <w:shd w:fill="FEF9E7" w:val="clear"/>
        <w:spacing w:before="80" w:after="80"/>
        <w:ind w:left="360" w:right="360"/>
      </w:pPr>
      <w:r>
        <w:rPr>
          <w:rFonts w:ascii="Arial" w:cs="Arial" w:eastAsia="Arial" w:hAnsi="Arial"/>
          <w:color w:val="1B4F72"/>
          <w:sz w:val="20"/>
          <w:szCs w:val="20"/>
        </w:rPr>
        <w:t xml:space="preserve">Key design constraint: Until a national Unique Patient Identifier (UPI) is universally adopted, cross-facility readmission tracking must rely on name + date-of-birth + phone number probabilistic matching, or be limited to within-facility readmissions at Tier 1-4 hospitals where patient records are digitised. TRIP must clearly communicate this limitation and its roadmap for improvement.</w:t>
      </w:r>
    </w:p>
    <w:p>
      <w:r>
        <w:br w:type="page"/>
      </w:r>
    </w:p>
    <w:p>
      <w:pPr>
        <w:pStyle w:val="Heading1"/>
        <w:spacing w:before="320" w:after="160"/>
      </w:pPr>
      <w:r>
        <w:rPr>
          <w:rFonts w:ascii="Arial" w:cs="Arial" w:eastAsia="Arial" w:hAnsi="Arial"/>
          <w:b/>
          <w:bCs/>
          <w:color w:val="1B4F72"/>
          <w:sz w:val="40"/>
          <w:szCs w:val="40"/>
        </w:rPr>
        <w:t xml:space="preserve">4. Facility Management Architecture</w:t>
      </w:r>
    </w:p>
    <w:p>
      <w:pPr>
        <w:pStyle w:val="Heading2"/>
        <w:spacing w:before="240" w:after="100"/>
      </w:pPr>
      <w:r>
        <w:rPr>
          <w:rFonts w:ascii="Arial" w:cs="Arial" w:eastAsia="Arial" w:hAnsi="Arial"/>
          <w:b/>
          <w:bCs/>
          <w:color w:val="1A7A50"/>
          <w:sz w:val="30"/>
          <w:szCs w:val="30"/>
        </w:rPr>
        <w:t xml:space="preserve">4.1 The Master Facility Registry as Canonical Source</w:t>
      </w:r>
    </w:p>
    <w:p>
      <w:pPr>
        <w:spacing w:before="80" w:after="80"/>
      </w:pPr>
      <w:r>
        <w:rPr>
          <w:rFonts w:ascii="Arial" w:cs="Arial" w:eastAsia="Arial" w:hAnsi="Arial"/>
          <w:b w:val="false"/>
          <w:bCs w:val="false"/>
          <w:color w:val="1C1C1C"/>
          <w:sz w:val="22"/>
          <w:szCs w:val="22"/>
        </w:rPr>
        <w:t xml:space="preserve">Tanzania's Ministry of Health maintains the Master Health Facility Registry (HFR), the authoritative source of all registered health facilities. TRIP must treat the HFR as its canonical facility registry — not maintain a competing list. On first deployment, TRIP imports the HFR dataset (available via MoH's digital portal at hidl.afya.go.tz) as its facility seed data. Any new facility registration within TRIP triggers a verification check against the HFR. Facilities not yet in the HFR can be provisionally registered in TRIP's local registry and flagged for MoH review.</w:t>
      </w:r>
    </w:p>
    <w:p>
      <w:pPr>
        <w:pStyle w:val="Heading2"/>
        <w:spacing w:before="240" w:after="100"/>
      </w:pPr>
      <w:r>
        <w:rPr>
          <w:rFonts w:ascii="Arial" w:cs="Arial" w:eastAsia="Arial" w:hAnsi="Arial"/>
          <w:b/>
          <w:bCs/>
          <w:color w:val="1A7A50"/>
          <w:sz w:val="30"/>
          <w:szCs w:val="30"/>
        </w:rPr>
        <w:t xml:space="preserve">4.2 Multi-Tenancy Model — Hierarchical Isolation with Aggregated Visibility</w:t>
      </w:r>
    </w:p>
    <w:p>
      <w:pPr>
        <w:spacing w:before="80" w:after="80"/>
      </w:pPr>
      <w:r>
        <w:rPr>
          <w:rFonts w:ascii="Arial" w:cs="Arial" w:eastAsia="Arial" w:hAnsi="Arial"/>
          <w:b w:val="false"/>
          <w:bCs w:val="false"/>
          <w:color w:val="1C1C1C"/>
          <w:sz w:val="22"/>
          <w:szCs w:val="22"/>
        </w:rPr>
        <w:t xml:space="preserve">TRIP operates on a strict hierarchical multi-tenancy principle: each facility owns its data, and data is visible upward through the hierarchy only in aggregated, de-identified form, unless explicit clinical transfer of care triggers patient-level sharing. This mirrors how the best national health systems — Singapore's NEHR, the UK NHS Spine, India's ABDM — handle federated data sovereignty.</w:t>
      </w:r>
    </w:p>
    <w:p>
      <w:pPr>
        <w:spacing w:before="80" w:after="80"/>
      </w:pPr>
      <w:r>
        <w:rPr>
          <w:rFonts w:ascii="Arial" w:cs="Arial" w:eastAsia="Arial" w:hAnsi="Arial"/>
          <w:b w:val="false"/>
          <w:bCs w:val="false"/>
          <w:color w:val="1C1C1C"/>
          <w:sz w:val="22"/>
          <w:szCs w:val="22"/>
        </w:rPr>
        <w:t xml:space="preserve">The technical implementation uses facility_id-scoped data partitioning in the database. Every patient record, every prediction, every audit log carries a facility_id foreign key. No cross-facility query can execute at the application layer without passing through the authorization service, which validates whether the requesting user's role permits cross-facility visibility for the requested data granularity level.</w:t>
      </w:r>
    </w:p>
    <w:p>
      <w:pPr>
        <w:pStyle w:val="Heading3"/>
        <w:spacing w:before="180" w:after="80"/>
      </w:pPr>
      <w:r>
        <w:rPr>
          <w:rFonts w:ascii="Arial" w:cs="Arial" w:eastAsia="Arial" w:hAnsi="Arial"/>
          <w:b/>
          <w:bCs/>
          <w:color w:val="1B4F72"/>
          <w:sz w:val="24"/>
          <w:szCs w:val="24"/>
        </w:rPr>
        <w:t xml:space="preserve">4.2.1 Data Visibility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80"/>
        <w:gridCol w:w="2440"/>
        <w:gridCol w:w="2440"/>
      </w:tblGrid>
      <w:tr>
        <w:tc>
          <w:tcPr>
            <w:gridSpan w:val="1"/>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Requesting Role Tier</w:t>
            </w:r>
          </w:p>
        </w:tc>
        <w:tc>
          <w:tcPr>
            <w:gridSpan w:val="1"/>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Patient-Level Data</w:t>
            </w:r>
          </w:p>
        </w:tc>
        <w:tc>
          <w:tcPr>
            <w:gridSpan w:val="1"/>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Facility-Level Aggregate</w:t>
            </w:r>
          </w:p>
        </w:tc>
        <w:tc>
          <w:tcPr>
            <w:gridSpan w:val="1"/>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Cross-Facility Aggregate</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Facility Staff (Tiers 5-7)</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Own facility only</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Own facility only</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None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District/Council (Tier 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Own facility only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All facilities in district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District rollup only</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Regional (Tier 3)</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Escalated cases only</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All districts in region</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Regional rollup only</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Zonal (Tier 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Escalated cases only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All regions in zone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Zonal rollup only</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National (Tier 1 / MoH)</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Anonymized / audit-gated</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All facilities nationwide</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Full national aggregate</w:t>
            </w:r>
          </w:p>
        </w:tc>
      </w:tr>
    </w:tbl>
    <w:p>
      <w:pPr>
        <w:pStyle w:val="Heading2"/>
        <w:spacing w:before="240" w:after="100"/>
      </w:pPr>
      <w:r>
        <w:rPr>
          <w:rFonts w:ascii="Arial" w:cs="Arial" w:eastAsia="Arial" w:hAnsi="Arial"/>
          <w:b/>
          <w:bCs/>
          <w:color w:val="1A7A50"/>
          <w:sz w:val="30"/>
          <w:szCs w:val="30"/>
        </w:rPr>
        <w:t xml:space="preserve">4.3 Facility Onboarding Workflow</w:t>
      </w:r>
    </w:p>
    <w:p>
      <w:pPr>
        <w:spacing w:before="80" w:after="80"/>
      </w:pPr>
      <w:r>
        <w:rPr>
          <w:rFonts w:ascii="Arial" w:cs="Arial" w:eastAsia="Arial" w:hAnsi="Arial"/>
          <w:b w:val="false"/>
          <w:bCs w:val="false"/>
          <w:color w:val="1C1C1C"/>
          <w:sz w:val="22"/>
          <w:szCs w:val="22"/>
        </w:rPr>
        <w:t xml:space="preserve">New facility registration in TRIP follows a structured, multi-step workflow that prevents unauthorized facility creation and ensures hierarchical integrity.</w:t>
      </w:r>
    </w:p>
    <w:p>
      <w:pPr>
        <w:pStyle w:val="ListParagraph"/>
        <w:numPr>
          <w:ilvl w:val="0"/>
          <w:numId w:val="3"/>
        </w:numPr>
        <w:spacing w:before="40" w:after="40"/>
      </w:pPr>
      <w:r>
        <w:rPr>
          <w:rFonts w:ascii="Arial" w:cs="Arial" w:eastAsia="Arial" w:hAnsi="Arial"/>
          <w:color w:val="1C1C1C"/>
          <w:sz w:val="22"/>
          <w:szCs w:val="22"/>
        </w:rPr>
        <w:t xml:space="preserve">Facility requests onboarding — submitted by the designated TRIP Facility Administrator (TFADMIN) role via the platform's secure facility registration portal.</w:t>
      </w:r>
    </w:p>
    <w:p>
      <w:pPr>
        <w:pStyle w:val="ListParagraph"/>
        <w:numPr>
          <w:ilvl w:val="0"/>
          <w:numId w:val="3"/>
        </w:numPr>
        <w:spacing w:before="40" w:after="40"/>
      </w:pPr>
      <w:r>
        <w:rPr>
          <w:rFonts w:ascii="Arial" w:cs="Arial" w:eastAsia="Arial" w:hAnsi="Arial"/>
          <w:color w:val="1C1C1C"/>
          <w:sz w:val="22"/>
          <w:szCs w:val="22"/>
        </w:rPr>
        <w:t xml:space="preserve">System validates against HFR — TRIP queries the MoH HFR API. If a matching facility record exists (matched on facility name, council, region, and MoH facility code), the facility is pre-populated with verified metadata.</w:t>
      </w:r>
    </w:p>
    <w:p>
      <w:pPr>
        <w:pStyle w:val="ListParagraph"/>
        <w:numPr>
          <w:ilvl w:val="0"/>
          <w:numId w:val="3"/>
        </w:numPr>
        <w:spacing w:before="40" w:after="40"/>
      </w:pPr>
      <w:r>
        <w:rPr>
          <w:rFonts w:ascii="Arial" w:cs="Arial" w:eastAsia="Arial" w:hAnsi="Arial"/>
          <w:color w:val="1C1C1C"/>
          <w:sz w:val="22"/>
          <w:szCs w:val="22"/>
        </w:rPr>
        <w:t xml:space="preserve">District-level approval — the District Health Information Officer (DHIO) role for that LGA reviews and approves the registration, confirming the facility is operational.</w:t>
      </w:r>
    </w:p>
    <w:p>
      <w:pPr>
        <w:pStyle w:val="ListParagraph"/>
        <w:numPr>
          <w:ilvl w:val="0"/>
          <w:numId w:val="3"/>
        </w:numPr>
        <w:spacing w:before="40" w:after="40"/>
      </w:pPr>
      <w:r>
        <w:rPr>
          <w:rFonts w:ascii="Arial" w:cs="Arial" w:eastAsia="Arial" w:hAnsi="Arial"/>
          <w:color w:val="1C1C1C"/>
          <w:sz w:val="22"/>
          <w:szCs w:val="22"/>
        </w:rPr>
        <w:t xml:space="preserve">Regional-level endorsement — for Tier 3 facilities and above, the Regional Health Information Manager (RHIM) endorses the registration.</w:t>
      </w:r>
    </w:p>
    <w:p>
      <w:pPr>
        <w:pStyle w:val="ListParagraph"/>
        <w:numPr>
          <w:ilvl w:val="0"/>
          <w:numId w:val="3"/>
        </w:numPr>
        <w:spacing w:before="40" w:after="40"/>
      </w:pPr>
      <w:r>
        <w:rPr>
          <w:rFonts w:ascii="Arial" w:cs="Arial" w:eastAsia="Arial" w:hAnsi="Arial"/>
          <w:color w:val="1C1C1C"/>
          <w:sz w:val="22"/>
          <w:szCs w:val="22"/>
        </w:rPr>
        <w:t xml:space="preserve">System provisioning — TRIP provisions a facility tenant: creates the facility database partition, generates facility-scoped API credentials, assigns initial user roles, and sends provisioning notification via SMS (using the Tanzanian short code infrastructure) and email.</w:t>
      </w:r>
    </w:p>
    <w:p>
      <w:pPr>
        <w:pStyle w:val="ListParagraph"/>
        <w:numPr>
          <w:ilvl w:val="0"/>
          <w:numId w:val="3"/>
        </w:numPr>
        <w:spacing w:before="40" w:after="40"/>
      </w:pPr>
      <w:r>
        <w:rPr>
          <w:rFonts w:ascii="Arial" w:cs="Arial" w:eastAsia="Arial" w:hAnsi="Arial"/>
          <w:color w:val="1C1C1C"/>
          <w:sz w:val="22"/>
          <w:szCs w:val="22"/>
        </w:rPr>
        <w:t xml:space="preserve">Integration configuration — for facilities with existing EMRs (GoT-HoMIS, Afya eHMS), the TRIP Integration Officer configures the appropriate connector (see Section 6). For facilities without EMRs, the TRIP Facility Data Entry module is activated.</w:t>
      </w:r>
    </w:p>
    <w:p>
      <w:pPr>
        <w:pStyle w:val="Heading2"/>
        <w:spacing w:before="240" w:after="100"/>
      </w:pPr>
      <w:r>
        <w:rPr>
          <w:rFonts w:ascii="Arial" w:cs="Arial" w:eastAsia="Arial" w:hAnsi="Arial"/>
          <w:b/>
          <w:bCs/>
          <w:color w:val="1A7A50"/>
          <w:sz w:val="30"/>
          <w:szCs w:val="30"/>
        </w:rPr>
        <w:t xml:space="preserve">4.4 Facility Deactivation and Maintenance</w:t>
      </w:r>
    </w:p>
    <w:p>
      <w:pPr>
        <w:spacing w:before="80" w:after="80"/>
      </w:pPr>
      <w:r>
        <w:rPr>
          <w:rFonts w:ascii="Arial" w:cs="Arial" w:eastAsia="Arial" w:hAnsi="Arial"/>
          <w:b w:val="false"/>
          <w:bCs w:val="false"/>
          <w:color w:val="1C1C1C"/>
          <w:sz w:val="22"/>
          <w:szCs w:val="22"/>
        </w:rPr>
        <w:t xml:space="preserve">Facilities can be temporarily suspended (e.g., during staff transitions or system audits) or permanently deactivated (e.g., closure). Deactivation is a two-step process requiring both the DHIO and RHIM to confirm. All data for deactivated facilities is retained for the legally required period (minimum 10 years for clinical records under Tanzania's regulations) and remains accessible to national and regional auditors. No data is deleted on deactivation — only access is suspended.</w:t>
      </w:r>
    </w:p>
    <w:p>
      <w:r>
        <w:br w:type="page"/>
      </w:r>
    </w:p>
    <w:p>
      <w:pPr>
        <w:pStyle w:val="Heading1"/>
        <w:spacing w:before="320" w:after="160"/>
      </w:pPr>
      <w:r>
        <w:rPr>
          <w:rFonts w:ascii="Arial" w:cs="Arial" w:eastAsia="Arial" w:hAnsi="Arial"/>
          <w:b/>
          <w:bCs/>
          <w:color w:val="1B4F72"/>
          <w:sz w:val="40"/>
          <w:szCs w:val="40"/>
        </w:rPr>
        <w:t xml:space="preserve">5. Data Sources and Data Strategy</w:t>
      </w:r>
    </w:p>
    <w:p>
      <w:pPr>
        <w:spacing w:before="80" w:after="80"/>
      </w:pPr>
      <w:r>
        <w:rPr>
          <w:rFonts w:ascii="Arial" w:cs="Arial" w:eastAsia="Arial" w:hAnsi="Arial"/>
          <w:b w:val="false"/>
          <w:bCs w:val="false"/>
          <w:color w:val="1C1C1C"/>
          <w:sz w:val="22"/>
          <w:szCs w:val="22"/>
        </w:rPr>
        <w:t xml:space="preserve">The most foundational truth of any ML platform is this: the model is only as good as its data. TRIP currently trains on 5,000 synthetic records with a readmission rate of approximately 24.1% — roughly double Tanzania's likely actual rate. This is a known, documented gap. The strategic question is not whether to acknowledge it — it already is acknowledged — but how to transition from where we are now to real, representative, calibrated data. This section provides that roadmap.</w:t>
      </w:r>
    </w:p>
    <w:p>
      <w:pPr>
        <w:pStyle w:val="Heading2"/>
        <w:spacing w:before="240" w:after="100"/>
      </w:pPr>
      <w:r>
        <w:rPr>
          <w:rFonts w:ascii="Arial" w:cs="Arial" w:eastAsia="Arial" w:hAnsi="Arial"/>
          <w:b/>
          <w:bCs/>
          <w:color w:val="1A7A50"/>
          <w:sz w:val="30"/>
          <w:szCs w:val="30"/>
        </w:rPr>
        <w:t xml:space="preserve">5.1 Data Categories Required by TRIP</w:t>
      </w:r>
    </w:p>
    <w:p>
      <w:pPr>
        <w:spacing w:before="80" w:after="80"/>
      </w:pPr>
      <w:r>
        <w:rPr>
          <w:rFonts w:ascii="Arial" w:cs="Arial" w:eastAsia="Arial" w:hAnsi="Arial"/>
          <w:b w:val="false"/>
          <w:bCs w:val="false"/>
          <w:color w:val="1C1C1C"/>
          <w:sz w:val="22"/>
          <w:szCs w:val="22"/>
        </w:rPr>
        <w:t xml:space="preserve">TRIP's readmission prediction requires three distinct categories of data, each with its own acquisition pathway:</w:t>
      </w:r>
    </w:p>
    <w:p>
      <w:pPr>
        <w:pStyle w:val="Heading3"/>
        <w:spacing w:before="180" w:after="80"/>
      </w:pPr>
      <w:r>
        <w:rPr>
          <w:rFonts w:ascii="Arial" w:cs="Arial" w:eastAsia="Arial" w:hAnsi="Arial"/>
          <w:b/>
          <w:bCs/>
          <w:color w:val="1B4F72"/>
          <w:sz w:val="24"/>
          <w:szCs w:val="24"/>
        </w:rPr>
        <w:t xml:space="preserve">5.1.1 Patient Clinical Data (Individual Level)</w:t>
      </w:r>
    </w:p>
    <w:p>
      <w:pPr>
        <w:spacing w:before="80" w:after="80"/>
      </w:pPr>
      <w:r>
        <w:rPr>
          <w:rFonts w:ascii="Arial" w:cs="Arial" w:eastAsia="Arial" w:hAnsi="Arial"/>
          <w:b w:val="false"/>
          <w:bCs w:val="false"/>
          <w:color w:val="1C1C1C"/>
          <w:sz w:val="22"/>
          <w:szCs w:val="22"/>
        </w:rPr>
        <w:t xml:space="preserve">This is the core training and inference data. It includes demographics (age, sex, residential ward), admission diagnosis (ICD-10 codes), comorbidities (Charlson Comorbidity Index components), vital signs at admission and discharge, lab values, length of stay, discharge disposition, number of prior admissions in the past 12 months, medication lists (especially for HIV/ART, TB, malaria), and insurance status (NHIF, CHF, TIKA, none).</w:t>
      </w:r>
    </w:p>
    <w:p>
      <w:pPr>
        <w:spacing w:before="80" w:after="80"/>
      </w:pPr>
      <w:r>
        <w:rPr>
          <w:rFonts w:ascii="Arial" w:cs="Arial" w:eastAsia="Arial" w:hAnsi="Arial"/>
          <w:b w:val="false"/>
          <w:bCs w:val="false"/>
          <w:color w:val="1C1C1C"/>
          <w:sz w:val="22"/>
          <w:szCs w:val="22"/>
        </w:rPr>
        <w:t xml:space="preserve">Tanzania-specific additions mandatory for model validity:</w:t>
      </w:r>
    </w:p>
    <w:p>
      <w:pPr>
        <w:pStyle w:val="ListParagraph"/>
        <w:numPr>
          <w:ilvl w:val="0"/>
          <w:numId w:val="2"/>
        </w:numPr>
        <w:spacing w:before="40" w:after="40"/>
      </w:pPr>
      <w:r>
        <w:rPr>
          <w:rFonts w:ascii="Arial" w:cs="Arial" w:eastAsia="Arial" w:hAnsi="Arial"/>
          <w:color w:val="1C1C1C"/>
          <w:sz w:val="22"/>
          <w:szCs w:val="22"/>
        </w:rPr>
        <w:t xml:space="preserve">Malaria episode history and P. falciparum status — Tanzania bears one of Africa's highest malaria burdens; malaria-related readmissions are a primary driver.</w:t>
      </w:r>
    </w:p>
    <w:p>
      <w:pPr>
        <w:pStyle w:val="ListParagraph"/>
        <w:numPr>
          <w:ilvl w:val="0"/>
          <w:numId w:val="2"/>
        </w:numPr>
        <w:spacing w:before="40" w:after="40"/>
      </w:pPr>
      <w:r>
        <w:rPr>
          <w:rFonts w:ascii="Arial" w:cs="Arial" w:eastAsia="Arial" w:hAnsi="Arial"/>
          <w:color w:val="1C1C1C"/>
          <w:sz w:val="22"/>
          <w:szCs w:val="22"/>
        </w:rPr>
        <w:t xml:space="preserve">HIV/ART status and viral load — CTC2 database (HIV treatment) is the primary source; integration with TRIP requires a specific FHIR-based bridge.</w:t>
      </w:r>
    </w:p>
    <w:p>
      <w:pPr>
        <w:pStyle w:val="ListParagraph"/>
        <w:numPr>
          <w:ilvl w:val="0"/>
          <w:numId w:val="2"/>
        </w:numPr>
        <w:spacing w:before="40" w:after="40"/>
      </w:pPr>
      <w:r>
        <w:rPr>
          <w:rFonts w:ascii="Arial" w:cs="Arial" w:eastAsia="Arial" w:hAnsi="Arial"/>
          <w:color w:val="1C1C1C"/>
          <w:sz w:val="22"/>
          <w:szCs w:val="22"/>
        </w:rPr>
        <w:t xml:space="preserve">Tuberculosis treatment status — TB-specific readmission patterns differ fundamentally from non-TB patients.</w:t>
      </w:r>
    </w:p>
    <w:p>
      <w:pPr>
        <w:pStyle w:val="ListParagraph"/>
        <w:numPr>
          <w:ilvl w:val="0"/>
          <w:numId w:val="2"/>
        </w:numPr>
        <w:spacing w:before="40" w:after="40"/>
      </w:pPr>
      <w:r>
        <w:rPr>
          <w:rFonts w:ascii="Arial" w:cs="Arial" w:eastAsia="Arial" w:hAnsi="Arial"/>
          <w:color w:val="1C1C1C"/>
          <w:sz w:val="22"/>
          <w:szCs w:val="22"/>
        </w:rPr>
        <w:t xml:space="preserve">Severe Acute Malnutrition (SAM) indicators — high readmission predictor in paediatric populations.</w:t>
      </w:r>
    </w:p>
    <w:p>
      <w:pPr>
        <w:pStyle w:val="ListParagraph"/>
        <w:numPr>
          <w:ilvl w:val="0"/>
          <w:numId w:val="2"/>
        </w:numPr>
        <w:spacing w:before="40" w:after="40"/>
      </w:pPr>
      <w:r>
        <w:rPr>
          <w:rFonts w:ascii="Arial" w:cs="Arial" w:eastAsia="Arial" w:hAnsi="Arial"/>
          <w:color w:val="1C1C1C"/>
          <w:sz w:val="22"/>
          <w:szCs w:val="22"/>
        </w:rPr>
        <w:t xml:space="preserve">Sickle Cell Disease markers — significantly elevated readmission risk, particularly at paediatric facilities.</w:t>
      </w:r>
    </w:p>
    <w:p>
      <w:pPr>
        <w:pStyle w:val="ListParagraph"/>
        <w:numPr>
          <w:ilvl w:val="0"/>
          <w:numId w:val="2"/>
        </w:numPr>
        <w:spacing w:before="40" w:after="40"/>
      </w:pPr>
      <w:r>
        <w:rPr>
          <w:rFonts w:ascii="Arial" w:cs="Arial" w:eastAsia="Arial" w:hAnsi="Arial"/>
          <w:color w:val="1C1C1C"/>
          <w:sz w:val="22"/>
          <w:szCs w:val="22"/>
        </w:rPr>
        <w:t xml:space="preserve">Social determinants: distance from facility (proxy: ward of residence), CHW coverage in patient's village.</w:t>
      </w:r>
    </w:p>
    <w:p>
      <w:pPr>
        <w:pStyle w:val="Heading3"/>
        <w:spacing w:before="180" w:after="80"/>
      </w:pPr>
      <w:r>
        <w:rPr>
          <w:rFonts w:ascii="Arial" w:cs="Arial" w:eastAsia="Arial" w:hAnsi="Arial"/>
          <w:b/>
          <w:bCs/>
          <w:color w:val="1B4F72"/>
          <w:sz w:val="24"/>
          <w:szCs w:val="24"/>
        </w:rPr>
        <w:t xml:space="preserve">5.1.2 Facility Aggregate Data (Population Level)</w:t>
      </w:r>
    </w:p>
    <w:p>
      <w:pPr>
        <w:spacing w:before="80" w:after="80"/>
      </w:pPr>
      <w:r>
        <w:rPr>
          <w:rFonts w:ascii="Arial" w:cs="Arial" w:eastAsia="Arial" w:hAnsi="Arial"/>
          <w:b w:val="false"/>
          <w:bCs w:val="false"/>
          <w:color w:val="1C1C1C"/>
          <w:sz w:val="22"/>
          <w:szCs w:val="22"/>
        </w:rPr>
        <w:t xml:space="preserve">This comes from DHIS2 — Tanzania's national HMIS. DHIS2 data is aggregate (not individual-level by default, though tracker programmes exist for HIV, maternal health, etc.). TRIP uses DHIS2 data for: facility-level readmission rate benchmarking, disease burden context (malaria positivity rate by district), catchment population denominators, and facility performance scorecards.</w:t>
      </w:r>
    </w:p>
    <w:p>
      <w:pPr>
        <w:pStyle w:val="Heading3"/>
        <w:spacing w:before="180" w:after="80"/>
      </w:pPr>
      <w:r>
        <w:rPr>
          <w:rFonts w:ascii="Arial" w:cs="Arial" w:eastAsia="Arial" w:hAnsi="Arial"/>
          <w:b/>
          <w:bCs/>
          <w:color w:val="1B4F72"/>
          <w:sz w:val="24"/>
          <w:szCs w:val="24"/>
        </w:rPr>
        <w:t xml:space="preserve">5.1.3 Health System Structural Data</w:t>
      </w:r>
    </w:p>
    <w:p>
      <w:pPr>
        <w:spacing w:before="80" w:after="80"/>
      </w:pPr>
      <w:r>
        <w:rPr>
          <w:rFonts w:ascii="Arial" w:cs="Arial" w:eastAsia="Arial" w:hAnsi="Arial"/>
          <w:b w:val="false"/>
          <w:bCs w:val="false"/>
          <w:color w:val="1C1C1C"/>
          <w:sz w:val="22"/>
          <w:szCs w:val="22"/>
        </w:rPr>
        <w:t xml:space="preserve">Master Facility Registry (HFR) for facility metadata, staffing levels, and catchment areas. Human Resources Information System (HRIS — iHRIS/Tamisemi) for workforce data, which is relevant to readmission risk where understaffing correlates with premature discharge.</w:t>
      </w:r>
    </w:p>
    <w:p>
      <w:pPr>
        <w:pStyle w:val="Heading2"/>
        <w:spacing w:before="240" w:after="100"/>
      </w:pPr>
      <w:r>
        <w:rPr>
          <w:rFonts w:ascii="Arial" w:cs="Arial" w:eastAsia="Arial" w:hAnsi="Arial"/>
          <w:b/>
          <w:bCs/>
          <w:color w:val="1A7A50"/>
          <w:sz w:val="30"/>
          <w:szCs w:val="30"/>
        </w:rPr>
        <w:t xml:space="preserve">5.2 Current Data State — Phase 0 (Demo Data Strategy)</w:t>
      </w:r>
    </w:p>
    <w:p>
      <w:pPr>
        <w:spacing w:before="80" w:after="80"/>
      </w:pPr>
      <w:r>
        <w:rPr>
          <w:rFonts w:ascii="Arial" w:cs="Arial" w:eastAsia="Arial" w:hAnsi="Arial"/>
          <w:b w:val="false"/>
          <w:bCs w:val="false"/>
          <w:color w:val="1C1C1C"/>
          <w:sz w:val="22"/>
          <w:szCs w:val="22"/>
        </w:rPr>
        <w:t xml:space="preserve">TRIP currently operates on DHIS2 demo instance data (play.dhis2.org). This is a deliberate, structured decision — not a workaround. The DHIS2 demo provides:</w:t>
      </w:r>
    </w:p>
    <w:p>
      <w:pPr>
        <w:pStyle w:val="ListParagraph"/>
        <w:numPr>
          <w:ilvl w:val="0"/>
          <w:numId w:val="2"/>
        </w:numPr>
        <w:spacing w:before="40" w:after="40"/>
      </w:pPr>
      <w:r>
        <w:rPr>
          <w:rFonts w:ascii="Arial" w:cs="Arial" w:eastAsia="Arial" w:hAnsi="Arial"/>
          <w:color w:val="1C1C1C"/>
          <w:sz w:val="22"/>
          <w:szCs w:val="22"/>
        </w:rPr>
        <w:t xml:space="preserve">A structurally valid API: the same REST endpoints, authentication flows, and data element schemas that the real Tanzania DHIS2 instance (hmis.dhis2.go.tz) uses.</w:t>
      </w:r>
    </w:p>
    <w:p>
      <w:pPr>
        <w:pStyle w:val="ListParagraph"/>
        <w:numPr>
          <w:ilvl w:val="0"/>
          <w:numId w:val="2"/>
        </w:numPr>
        <w:spacing w:before="40" w:after="40"/>
      </w:pPr>
      <w:r>
        <w:rPr>
          <w:rFonts w:ascii="Arial" w:cs="Arial" w:eastAsia="Arial" w:hAnsi="Arial"/>
          <w:color w:val="1C1C1C"/>
          <w:sz w:val="22"/>
          <w:szCs w:val="22"/>
        </w:rPr>
        <w:t xml:space="preserve">Realistic data volumes and hierarchy: the demo contains facility hierarchies, organisation units, and aggregate datasets that mirror the structure of real national instances.</w:t>
      </w:r>
    </w:p>
    <w:p>
      <w:pPr>
        <w:pStyle w:val="ListParagraph"/>
        <w:numPr>
          <w:ilvl w:val="0"/>
          <w:numId w:val="2"/>
        </w:numPr>
        <w:spacing w:before="40" w:after="40"/>
      </w:pPr>
      <w:r>
        <w:rPr>
          <w:rFonts w:ascii="Arial" w:cs="Arial" w:eastAsia="Arial" w:hAnsi="Arial"/>
          <w:color w:val="1C1C1C"/>
          <w:sz w:val="22"/>
          <w:szCs w:val="22"/>
        </w:rPr>
        <w:t xml:space="preserve">Safe validation environment: all TRIP infrastructure — the DHIS2 adapter, the data ingestion pipeline, the facility hierarchy synchronisation — can be built and validated against demo data before a single line touches production systems.</w:t>
      </w:r>
    </w:p>
    <w:p>
      <w:pPr>
        <w:shd w:fill="EBF5FB" w:val="clear"/>
        <w:spacing w:before="80" w:after="80"/>
        <w:ind w:left="360" w:right="360"/>
      </w:pPr>
      <w:r>
        <w:rPr>
          <w:rFonts w:ascii="Arial" w:cs="Arial" w:eastAsia="Arial" w:hAnsi="Arial"/>
          <w:color w:val="1B4F72"/>
          <w:sz w:val="20"/>
          <w:szCs w:val="20"/>
        </w:rPr>
        <w:t xml:space="preserve">Implementation note: TRIP's DHIS2 integration layer must be built with a configuration-driven base URL. Switching from play.dhis2.org to hmis.dhis2.go.tz requires only a credential and URL change — zero code change. This must be enforced as a non-negotiable architectural constraint from day one.</w:t>
      </w:r>
    </w:p>
    <w:p>
      <w:pPr>
        <w:spacing w:before="80" w:after="80"/>
      </w:pPr>
      <w:r>
        <w:rPr>
          <w:rFonts w:ascii="Arial" w:cs="Arial" w:eastAsia="Arial" w:hAnsi="Arial"/>
          <w:b w:val="false"/>
          <w:bCs w:val="false"/>
          <w:color w:val="1C1C1C"/>
          <w:sz w:val="22"/>
          <w:szCs w:val="22"/>
        </w:rPr>
        <w:t xml:space="preserve">For patient-level data in Phase 0, TRIP uses a Tanzania-calibrated synthetic data generator — not generic synthetic data. This generator must be built to produce:</w:t>
      </w:r>
    </w:p>
    <w:p>
      <w:pPr>
        <w:pStyle w:val="ListParagraph"/>
        <w:numPr>
          <w:ilvl w:val="0"/>
          <w:numId w:val="2"/>
        </w:numPr>
        <w:spacing w:before="40" w:after="40"/>
      </w:pPr>
      <w:r>
        <w:rPr>
          <w:rFonts w:ascii="Arial" w:cs="Arial" w:eastAsia="Arial" w:hAnsi="Arial"/>
          <w:color w:val="1C1C1C"/>
          <w:sz w:val="22"/>
          <w:szCs w:val="22"/>
        </w:rPr>
        <w:t xml:space="preserve">Readmission rate of 10–14% (consistent with sub-Saharan Africa evidence for mixed-condition patient populations).</w:t>
      </w:r>
    </w:p>
    <w:p>
      <w:pPr>
        <w:pStyle w:val="ListParagraph"/>
        <w:numPr>
          <w:ilvl w:val="0"/>
          <w:numId w:val="2"/>
        </w:numPr>
        <w:spacing w:before="40" w:after="40"/>
      </w:pPr>
      <w:r>
        <w:rPr>
          <w:rFonts w:ascii="Arial" w:cs="Arial" w:eastAsia="Arial" w:hAnsi="Arial"/>
          <w:color w:val="1C1C1C"/>
          <w:sz w:val="22"/>
          <w:szCs w:val="22"/>
        </w:rPr>
        <w:t xml:space="preserve">Disease distribution weighted by Tanzania's actual burden: malaria (~35% of admissions at primary level), lower respiratory infections, diarrhoeal disease, complications of HIV/ART, anaemia, obstetric conditions.</w:t>
      </w:r>
    </w:p>
    <w:p>
      <w:pPr>
        <w:pStyle w:val="ListParagraph"/>
        <w:numPr>
          <w:ilvl w:val="0"/>
          <w:numId w:val="2"/>
        </w:numPr>
        <w:spacing w:before="40" w:after="40"/>
      </w:pPr>
      <w:r>
        <w:rPr>
          <w:rFonts w:ascii="Arial" w:cs="Arial" w:eastAsia="Arial" w:hAnsi="Arial"/>
          <w:color w:val="1C1C1C"/>
          <w:sz w:val="22"/>
          <w:szCs w:val="22"/>
        </w:rPr>
        <w:t xml:space="preserve">ICD-10 codes mapped to the diagnoses actually coded in GoT-HoMIS and Afya eHMS.</w:t>
      </w:r>
    </w:p>
    <w:p>
      <w:pPr>
        <w:pStyle w:val="ListParagraph"/>
        <w:numPr>
          <w:ilvl w:val="0"/>
          <w:numId w:val="2"/>
        </w:numPr>
        <w:spacing w:before="40" w:after="40"/>
      </w:pPr>
      <w:r>
        <w:rPr>
          <w:rFonts w:ascii="Arial" w:cs="Arial" w:eastAsia="Arial" w:hAnsi="Arial"/>
          <w:color w:val="1C1C1C"/>
          <w:sz w:val="22"/>
          <w:szCs w:val="22"/>
        </w:rPr>
        <w:t xml:space="preserve">Temporal structure: admissions spanning 36 months with realistic seasonal variation (malaria peaks in rainy season April–June and October–December).</w:t>
      </w:r>
    </w:p>
    <w:p>
      <w:pPr>
        <w:pStyle w:val="Heading2"/>
        <w:spacing w:before="240" w:after="100"/>
      </w:pPr>
      <w:r>
        <w:rPr>
          <w:rFonts w:ascii="Arial" w:cs="Arial" w:eastAsia="Arial" w:hAnsi="Arial"/>
          <w:b/>
          <w:bCs/>
          <w:color w:val="1A7A50"/>
          <w:sz w:val="30"/>
          <w:szCs w:val="30"/>
        </w:rPr>
        <w:t xml:space="preserve">5.3 Real Data Acquisition — Phase 1 Strategy</w:t>
      </w:r>
    </w:p>
    <w:p>
      <w:pPr>
        <w:spacing w:before="80" w:after="80"/>
      </w:pPr>
      <w:r>
        <w:rPr>
          <w:rFonts w:ascii="Arial" w:cs="Arial" w:eastAsia="Arial" w:hAnsi="Arial"/>
          <w:b w:val="false"/>
          <w:bCs w:val="false"/>
          <w:color w:val="1C1C1C"/>
          <w:sz w:val="22"/>
          <w:szCs w:val="22"/>
        </w:rPr>
        <w:t xml:space="preserve">The primary pathway to real patient data does not begin with a cold API call. It begins with institutional relationships. The following acquisition pathway is recommended:</w:t>
      </w:r>
    </w:p>
    <w:p>
      <w:pPr>
        <w:pStyle w:val="ListParagraph"/>
        <w:numPr>
          <w:ilvl w:val="0"/>
          <w:numId w:val="3"/>
        </w:numPr>
        <w:spacing w:before="40" w:after="40"/>
      </w:pPr>
      <w:r>
        <w:rPr>
          <w:rFonts w:ascii="Arial" w:cs="Arial" w:eastAsia="Arial" w:hAnsi="Arial"/>
          <w:color w:val="1C1C1C"/>
          <w:sz w:val="22"/>
          <w:szCs w:val="22"/>
        </w:rPr>
        <w:t xml:space="preserve">Ethics approval — apply to the National Institute for Medical Research (NIMR) for a protocol covering secondary use of de-identified clinical records for health system research. This is mandatory and typically takes 3–6 months. Application can be submitted in parallel with Phase 0 development.</w:t>
      </w:r>
    </w:p>
    <w:p>
      <w:pPr>
        <w:pStyle w:val="ListParagraph"/>
        <w:numPr>
          <w:ilvl w:val="0"/>
          <w:numId w:val="3"/>
        </w:numPr>
        <w:spacing w:before="40" w:after="40"/>
      </w:pPr>
      <w:r>
        <w:rPr>
          <w:rFonts w:ascii="Arial" w:cs="Arial" w:eastAsia="Arial" w:hAnsi="Arial"/>
          <w:color w:val="1C1C1C"/>
          <w:sz w:val="22"/>
          <w:szCs w:val="22"/>
        </w:rPr>
        <w:t xml:space="preserve">MoH partnership agreement — formalize TRIP as a MoH digital health initiative under the Tanzania Digital Health Strategy 2025–2030. This provides institutional cover for data access requests to facility-level data custodians.</w:t>
      </w:r>
    </w:p>
    <w:p>
      <w:pPr>
        <w:pStyle w:val="ListParagraph"/>
        <w:numPr>
          <w:ilvl w:val="0"/>
          <w:numId w:val="3"/>
        </w:numPr>
        <w:spacing w:before="40" w:after="40"/>
      </w:pPr>
      <w:r>
        <w:rPr>
          <w:rFonts w:ascii="Arial" w:cs="Arial" w:eastAsia="Arial" w:hAnsi="Arial"/>
          <w:color w:val="1C1C1C"/>
          <w:sz w:val="22"/>
          <w:szCs w:val="22"/>
        </w:rPr>
        <w:t xml:space="preserve">Pilot facility selection — identify 2–3 district hospitals already running GoT-HoMIS with a Health Records Officer (HRO) willing to participate. Muhimbili National Hospital and KCMC (Kilimanjaro Christian Medical Centre) are the highest-priority targets due to data volume and digitisation maturity.</w:t>
      </w:r>
    </w:p>
    <w:p>
      <w:pPr>
        <w:pStyle w:val="ListParagraph"/>
        <w:numPr>
          <w:ilvl w:val="0"/>
          <w:numId w:val="3"/>
        </w:numPr>
        <w:spacing w:before="40" w:after="40"/>
      </w:pPr>
      <w:r>
        <w:rPr>
          <w:rFonts w:ascii="Arial" w:cs="Arial" w:eastAsia="Arial" w:hAnsi="Arial"/>
          <w:color w:val="1C1C1C"/>
          <w:sz w:val="22"/>
          <w:szCs w:val="22"/>
        </w:rPr>
        <w:t xml:space="preserve">Data extraction agreement — sign a formal Data Sharing Agreement (DSA) with each pilot facility covering: data elements to be extracted, de-identification protocol (minimum: replace patient name with pseudonym, remove phone, remove exact address), retention period, permitted uses, and right to audit.</w:t>
      </w:r>
    </w:p>
    <w:p>
      <w:pPr>
        <w:pStyle w:val="ListParagraph"/>
        <w:numPr>
          <w:ilvl w:val="0"/>
          <w:numId w:val="3"/>
        </w:numPr>
        <w:spacing w:before="40" w:after="40"/>
      </w:pPr>
      <w:r>
        <w:rPr>
          <w:rFonts w:ascii="Arial" w:cs="Arial" w:eastAsia="Arial" w:hAnsi="Arial"/>
          <w:color w:val="1C1C1C"/>
          <w:sz w:val="22"/>
          <w:szCs w:val="22"/>
        </w:rPr>
        <w:t xml:space="preserve">Retrospective extract — extract a minimum of 24 months of inpatient admission records (admission date, discharge date, ICD-10 codes, age band, sex, ward, discharge disposition, readmission within 30 days flag). This is the training dataset.</w:t>
      </w:r>
    </w:p>
    <w:p>
      <w:pPr>
        <w:pStyle w:val="ListParagraph"/>
        <w:numPr>
          <w:ilvl w:val="0"/>
          <w:numId w:val="3"/>
        </w:numPr>
        <w:spacing w:before="40" w:after="40"/>
      </w:pPr>
      <w:r>
        <w:rPr>
          <w:rFonts w:ascii="Arial" w:cs="Arial" w:eastAsia="Arial" w:hAnsi="Arial"/>
          <w:color w:val="1C1C1C"/>
          <w:sz w:val="22"/>
          <w:szCs w:val="22"/>
        </w:rPr>
        <w:t xml:space="preserve">Temporal holdout split — the first 18 months of data becomes training data; months 19–24 become the temporal holdout validation set. This replaces the current K-fold approach, which is methodologically invalid for time-series clinical data.</w:t>
      </w:r>
    </w:p>
    <w:p>
      <w:pPr>
        <w:pStyle w:val="Heading2"/>
        <w:spacing w:before="240" w:after="100"/>
      </w:pPr>
      <w:r>
        <w:rPr>
          <w:rFonts w:ascii="Arial" w:cs="Arial" w:eastAsia="Arial" w:hAnsi="Arial"/>
          <w:b/>
          <w:bCs/>
          <w:color w:val="1A7A50"/>
          <w:sz w:val="30"/>
          <w:szCs w:val="30"/>
        </w:rPr>
        <w:t xml:space="preserve">5.4 Data for Facilities Without EMRs — The Paper Bridge</w:t>
      </w:r>
    </w:p>
    <w:p>
      <w:pPr>
        <w:spacing w:before="80" w:after="80"/>
      </w:pPr>
      <w:r>
        <w:rPr>
          <w:rFonts w:ascii="Arial" w:cs="Arial" w:eastAsia="Arial" w:hAnsi="Arial"/>
          <w:b w:val="false"/>
          <w:bCs w:val="false"/>
          <w:color w:val="1C1C1C"/>
          <w:sz w:val="22"/>
          <w:szCs w:val="22"/>
        </w:rPr>
        <w:t xml:space="preserve">A significant proportion of Tanzania's health facilities — particularly at Tiers 5–7 — operate with paper registers or partial digitisation. TRIP cannot wait for full EMR rollout to cover these facilities. The "paper bridge" strategy provides a structured pathway:</w:t>
      </w:r>
    </w:p>
    <w:p>
      <w:pPr>
        <w:pStyle w:val="ListParagraph"/>
        <w:numPr>
          <w:ilvl w:val="0"/>
          <w:numId w:val="2"/>
        </w:numPr>
        <w:spacing w:before="40" w:after="40"/>
      </w:pPr>
      <w:r>
        <w:rPr>
          <w:rFonts w:ascii="Arial" w:cs="Arial" w:eastAsia="Arial" w:hAnsi="Arial"/>
          <w:color w:val="1C1C1C"/>
          <w:sz w:val="22"/>
          <w:szCs w:val="22"/>
        </w:rPr>
        <w:t xml:space="preserve">Structured admission/discharge paper forms are pre-printed for each facility, aligned with TRIP's minimum data set.</w:t>
      </w:r>
    </w:p>
    <w:p>
      <w:pPr>
        <w:pStyle w:val="ListParagraph"/>
        <w:numPr>
          <w:ilvl w:val="0"/>
          <w:numId w:val="2"/>
        </w:numPr>
        <w:spacing w:before="40" w:after="40"/>
      </w:pPr>
      <w:r>
        <w:rPr>
          <w:rFonts w:ascii="Arial" w:cs="Arial" w:eastAsia="Arial" w:hAnsi="Arial"/>
          <w:color w:val="1C1C1C"/>
          <w:sz w:val="22"/>
          <w:szCs w:val="22"/>
        </w:rPr>
        <w:t xml:space="preserve">A TRIP Mobile Data Entry module (progressive web app optimised for feature phones with 2G connectivity) allows Health Records Officers to enter data batch-weekly.</w:t>
      </w:r>
    </w:p>
    <w:p>
      <w:pPr>
        <w:pStyle w:val="ListParagraph"/>
        <w:numPr>
          <w:ilvl w:val="0"/>
          <w:numId w:val="2"/>
        </w:numPr>
        <w:spacing w:before="40" w:after="40"/>
      </w:pPr>
      <w:r>
        <w:rPr>
          <w:rFonts w:ascii="Arial" w:cs="Arial" w:eastAsia="Arial" w:hAnsi="Arial"/>
          <w:color w:val="1C1C1C"/>
          <w:sz w:val="22"/>
          <w:szCs w:val="22"/>
        </w:rPr>
        <w:t xml:space="preserve">Voice-based data entry (Swahili-language IVR) is included in the Tier 6–7 roadmap for facilities with no reliable data entry staff.</w:t>
      </w:r>
    </w:p>
    <w:p>
      <w:pPr>
        <w:pStyle w:val="ListParagraph"/>
        <w:numPr>
          <w:ilvl w:val="0"/>
          <w:numId w:val="2"/>
        </w:numPr>
        <w:spacing w:before="40" w:after="40"/>
      </w:pPr>
      <w:r>
        <w:rPr>
          <w:rFonts w:ascii="Arial" w:cs="Arial" w:eastAsia="Arial" w:hAnsi="Arial"/>
          <w:color w:val="1C1C1C"/>
          <w:sz w:val="22"/>
          <w:szCs w:val="22"/>
        </w:rPr>
        <w:t xml:space="preserve">DHIS2 aggregate data from these facilities provides population-level denominators even where individual patient records are unavailable.</w:t>
      </w:r>
    </w:p>
    <w:p>
      <w:r>
        <w:br w:type="page"/>
      </w:r>
    </w:p>
    <w:p>
      <w:pPr>
        <w:pStyle w:val="Heading1"/>
        <w:spacing w:before="320" w:after="160"/>
      </w:pPr>
      <w:r>
        <w:rPr>
          <w:rFonts w:ascii="Arial" w:cs="Arial" w:eastAsia="Arial" w:hAnsi="Arial"/>
          <w:b/>
          <w:bCs/>
          <w:color w:val="1B4F72"/>
          <w:sz w:val="40"/>
          <w:szCs w:val="40"/>
        </w:rPr>
        <w:t xml:space="preserve">6. Interoperability Architecture</w:t>
      </w:r>
    </w:p>
    <w:p>
      <w:pPr>
        <w:spacing w:before="80" w:after="80"/>
      </w:pPr>
      <w:r>
        <w:rPr>
          <w:rFonts w:ascii="Arial" w:cs="Arial" w:eastAsia="Arial" w:hAnsi="Arial"/>
          <w:b w:val="false"/>
          <w:bCs w:val="false"/>
          <w:color w:val="1C1C1C"/>
          <w:sz w:val="22"/>
          <w:szCs w:val="22"/>
        </w:rPr>
        <w:t xml:space="preserve">Tanzania's interoperability landscape is fragmented but directionally clear: the government's 2025–2030 Digital Health Strategy mandates a Universal Health API guideline to enable seamless data exchange, full EMR-to-DHIS2 interoperability, and OpenHIE-aligned architecture. TRIP must be built to meet this architecture — not against it.</w:t>
      </w:r>
    </w:p>
    <w:p>
      <w:pPr>
        <w:pStyle w:val="Heading2"/>
        <w:spacing w:before="240" w:after="100"/>
      </w:pPr>
      <w:r>
        <w:rPr>
          <w:rFonts w:ascii="Arial" w:cs="Arial" w:eastAsia="Arial" w:hAnsi="Arial"/>
          <w:b/>
          <w:bCs/>
          <w:color w:val="1A7A50"/>
          <w:sz w:val="30"/>
          <w:szCs w:val="30"/>
        </w:rPr>
        <w:t xml:space="preserve">6.1 Tanzania's Digital Health Stack (Actual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National HMIS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DHIS2 (hmis.dhis2.go.tz) — aggregate + tracker data; managed by MoHCDGEC ICT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Primary PHC EMR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GoT-HoMIS (&gt; 3,000 facilities) — OpenMRS-based, facility-local hosting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Regional Hospital EMR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Afya eHMS (all 28 RRHs) — OpenMRS-based, AfyaCare lineage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HIV/ART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CTC2 database — facility-level HIV care and treatment tracker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Immunisation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TImR (SantéIMS) — Tanzania Immunisation Registry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Logistics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eLMIS — integrated with DHIS2, mSupply, Epicor 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National Hospital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GIVA system (Muhimbili) — proprietary, limited 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Interop Layer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Gov-ESB planned; OpenHIE/OpenHIM in pilot; HL7 FHIR API guideline in development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Facility Registry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Master Health Facility Registry (HFR) at MoH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Insurance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OpenIMIS for CHF/TIKA; NHIF has own system</w:t>
            </w:r>
          </w:p>
        </w:tc>
      </w:tr>
    </w:tbl>
    <w:p>
      <w:pPr>
        <w:pStyle w:val="Heading2"/>
        <w:spacing w:before="240" w:after="100"/>
      </w:pPr>
      <w:r>
        <w:rPr>
          <w:rFonts w:ascii="Arial" w:cs="Arial" w:eastAsia="Arial" w:hAnsi="Arial"/>
          <w:b/>
          <w:bCs/>
          <w:color w:val="1A7A50"/>
          <w:sz w:val="30"/>
          <w:szCs w:val="30"/>
        </w:rPr>
        <w:t xml:space="preserve">6.2 TRIP's Interoperability Architecture</w:t>
      </w:r>
    </w:p>
    <w:p>
      <w:pPr>
        <w:spacing w:before="80" w:after="80"/>
      </w:pPr>
      <w:r>
        <w:rPr>
          <w:rFonts w:ascii="Arial" w:cs="Arial" w:eastAsia="Arial" w:hAnsi="Arial"/>
          <w:b w:val="false"/>
          <w:bCs w:val="false"/>
          <w:color w:val="1C1C1C"/>
          <w:sz w:val="22"/>
          <w:szCs w:val="22"/>
        </w:rPr>
        <w:t xml:space="preserve">TRIP sits above this stack as an intelligence consumer and outputs intelligence back into it. It never writes into EMRs without an explicit, role-gated clinical action (e.g., a clinician confirming a readmission flag which is then posted to the patient's EMR via FHIR). The following connectors are required:</w:t>
      </w:r>
    </w:p>
    <w:p>
      <w:pPr>
        <w:pStyle w:val="Heading3"/>
        <w:spacing w:before="180" w:after="80"/>
      </w:pPr>
      <w:r>
        <w:rPr>
          <w:rFonts w:ascii="Arial" w:cs="Arial" w:eastAsia="Arial" w:hAnsi="Arial"/>
          <w:b/>
          <w:bCs/>
          <w:color w:val="1B4F72"/>
          <w:sz w:val="24"/>
          <w:szCs w:val="24"/>
        </w:rPr>
        <w:t xml:space="preserve">6.2.1 DHIS2 Connector</w:t>
      </w:r>
    </w:p>
    <w:p>
      <w:pPr>
        <w:spacing w:before="80" w:after="80"/>
      </w:pPr>
      <w:r>
        <w:rPr>
          <w:rFonts w:ascii="Arial" w:cs="Arial" w:eastAsia="Arial" w:hAnsi="Arial"/>
          <w:b w:val="false"/>
          <w:bCs w:val="false"/>
          <w:color w:val="1C1C1C"/>
          <w:sz w:val="22"/>
          <w:szCs w:val="22"/>
        </w:rPr>
        <w:t xml:space="preserve">The DHIS2 Web API is TRIP's primary source of aggregate data and facility hierarchy. Implementation uses DHIS2's authenticated REST API with:</w:t>
      </w:r>
    </w:p>
    <w:p>
      <w:pPr>
        <w:pStyle w:val="ListParagraph"/>
        <w:numPr>
          <w:ilvl w:val="0"/>
          <w:numId w:val="2"/>
        </w:numPr>
        <w:spacing w:before="40" w:after="40"/>
      </w:pPr>
      <w:r>
        <w:rPr>
          <w:rFonts w:ascii="Arial" w:cs="Arial" w:eastAsia="Arial" w:hAnsi="Arial"/>
          <w:color w:val="1C1C1C"/>
          <w:sz w:val="22"/>
          <w:szCs w:val="22"/>
        </w:rPr>
        <w:t xml:space="preserve">Organisation Unit hierarchy sync: periodic (weekly) pull of the full facility tree — national &gt; zone &gt; region &gt; district &gt; facility — to keep TRIP's hierarchy model in sync with MoH's master.</w:t>
      </w:r>
    </w:p>
    <w:p>
      <w:pPr>
        <w:pStyle w:val="ListParagraph"/>
        <w:numPr>
          <w:ilvl w:val="0"/>
          <w:numId w:val="2"/>
        </w:numPr>
        <w:spacing w:before="40" w:after="40"/>
      </w:pPr>
      <w:r>
        <w:rPr>
          <w:rFonts w:ascii="Arial" w:cs="Arial" w:eastAsia="Arial" w:hAnsi="Arial"/>
          <w:color w:val="1C1C1C"/>
          <w:sz w:val="22"/>
          <w:szCs w:val="22"/>
        </w:rPr>
        <w:t xml:space="preserve">Aggregate data pull: monthly pull of disease burden indicators (malaria cases, pneumonia cases, OPD attendance) per organisation unit, used as population denominators for readmission rate calculation.</w:t>
      </w:r>
    </w:p>
    <w:p>
      <w:pPr>
        <w:pStyle w:val="ListParagraph"/>
        <w:numPr>
          <w:ilvl w:val="0"/>
          <w:numId w:val="2"/>
        </w:numPr>
        <w:spacing w:before="40" w:after="40"/>
      </w:pPr>
      <w:r>
        <w:rPr>
          <w:rFonts w:ascii="Arial" w:cs="Arial" w:eastAsia="Arial" w:hAnsi="Arial"/>
          <w:color w:val="1C1C1C"/>
          <w:sz w:val="22"/>
          <w:szCs w:val="22"/>
        </w:rPr>
        <w:t xml:space="preserve">Tracker data pull (where available): for HIV tracker programme and maternal health tracker, TRIP can pull de-identified event data via the DHIS2 Tracker API.</w:t>
      </w:r>
    </w:p>
    <w:p>
      <w:pPr>
        <w:pStyle w:val="ListParagraph"/>
        <w:numPr>
          <w:ilvl w:val="0"/>
          <w:numId w:val="2"/>
        </w:numPr>
        <w:spacing w:before="40" w:after="40"/>
      </w:pPr>
      <w:r>
        <w:rPr>
          <w:rFonts w:ascii="Arial" w:cs="Arial" w:eastAsia="Arial" w:hAnsi="Arial"/>
          <w:color w:val="1C1C1C"/>
          <w:sz w:val="22"/>
          <w:szCs w:val="22"/>
        </w:rPr>
        <w:t xml:space="preserve">Push: TRIP can push computed aggregate readmission indicators back into DHIS2 as custom data elements, making TRIP's intelligence visible in MoH's existing DHIS2 dashboards — this is a critical alignment strategy.</w:t>
      </w:r>
    </w:p>
    <w:p>
      <w:pPr>
        <w:spacing w:before="80" w:after="80"/>
      </w:pPr>
      <w:r>
        <w:rPr>
          <w:rFonts w:ascii="Arial" w:cs="Arial" w:eastAsia="Arial" w:hAnsi="Arial"/>
          <w:b w:val="false"/>
          <w:bCs w:val="false"/>
          <w:color w:val="1C1C1C"/>
          <w:sz w:val="22"/>
          <w:szCs w:val="22"/>
        </w:rPr>
        <w:t xml:space="preserve">Authentication uses DHIS2 Basic Auth (transitioning to OAuth2 as DHIS2 v41+ is deployed). All API calls use HTTPS with certificate pinning on the mobile client.</w:t>
      </w:r>
    </w:p>
    <w:p>
      <w:pPr>
        <w:pStyle w:val="Heading3"/>
        <w:spacing w:before="180" w:after="80"/>
      </w:pPr>
      <w:r>
        <w:rPr>
          <w:rFonts w:ascii="Arial" w:cs="Arial" w:eastAsia="Arial" w:hAnsi="Arial"/>
          <w:b/>
          <w:bCs/>
          <w:color w:val="1B4F72"/>
          <w:sz w:val="24"/>
          <w:szCs w:val="24"/>
        </w:rPr>
        <w:t xml:space="preserve">6.2.2 GoT-HoMIS / OpenMRS Connector</w:t>
      </w:r>
    </w:p>
    <w:p>
      <w:pPr>
        <w:spacing w:before="80" w:after="80"/>
      </w:pPr>
      <w:r>
        <w:rPr>
          <w:rFonts w:ascii="Arial" w:cs="Arial" w:eastAsia="Arial" w:hAnsi="Arial"/>
          <w:b w:val="false"/>
          <w:bCs w:val="false"/>
          <w:color w:val="1C1C1C"/>
          <w:sz w:val="22"/>
          <w:szCs w:val="22"/>
        </w:rPr>
        <w:t xml:space="preserve">GoT-HoMIS is OpenMRS-based. OpenMRS exposes a comprehensive REST API and, via the FHIR2 module, a HL7 FHIR R4-compliant endpoint. TRIP's GoT-HoMIS connector uses:</w:t>
      </w:r>
    </w:p>
    <w:p>
      <w:pPr>
        <w:pStyle w:val="ListParagraph"/>
        <w:numPr>
          <w:ilvl w:val="0"/>
          <w:numId w:val="2"/>
        </w:numPr>
        <w:spacing w:before="40" w:after="40"/>
      </w:pPr>
      <w:r>
        <w:rPr>
          <w:rFonts w:ascii="Arial" w:cs="Arial" w:eastAsia="Arial" w:hAnsi="Arial"/>
          <w:color w:val="1C1C1C"/>
          <w:sz w:val="22"/>
          <w:szCs w:val="22"/>
        </w:rPr>
        <w:t xml:space="preserve">FHIR R4 Patient resource — to pull patient demographics (de-identified subset).</w:t>
      </w:r>
    </w:p>
    <w:p>
      <w:pPr>
        <w:pStyle w:val="ListParagraph"/>
        <w:numPr>
          <w:ilvl w:val="0"/>
          <w:numId w:val="2"/>
        </w:numPr>
        <w:spacing w:before="40" w:after="40"/>
      </w:pPr>
      <w:r>
        <w:rPr>
          <w:rFonts w:ascii="Arial" w:cs="Arial" w:eastAsia="Arial" w:hAnsi="Arial"/>
          <w:color w:val="1C1C1C"/>
          <w:sz w:val="22"/>
          <w:szCs w:val="22"/>
        </w:rPr>
        <w:t xml:space="preserve">FHIR R4 Encounter resource — to pull admission and discharge events.</w:t>
      </w:r>
    </w:p>
    <w:p>
      <w:pPr>
        <w:pStyle w:val="ListParagraph"/>
        <w:numPr>
          <w:ilvl w:val="0"/>
          <w:numId w:val="2"/>
        </w:numPr>
        <w:spacing w:before="40" w:after="40"/>
      </w:pPr>
      <w:r>
        <w:rPr>
          <w:rFonts w:ascii="Arial" w:cs="Arial" w:eastAsia="Arial" w:hAnsi="Arial"/>
          <w:color w:val="1C1C1C"/>
          <w:sz w:val="22"/>
          <w:szCs w:val="22"/>
        </w:rPr>
        <w:t xml:space="preserve">FHIR R4 Condition resource — to pull ICD-10 diagnosis codes.</w:t>
      </w:r>
    </w:p>
    <w:p>
      <w:pPr>
        <w:pStyle w:val="ListParagraph"/>
        <w:numPr>
          <w:ilvl w:val="0"/>
          <w:numId w:val="2"/>
        </w:numPr>
        <w:spacing w:before="40" w:after="40"/>
      </w:pPr>
      <w:r>
        <w:rPr>
          <w:rFonts w:ascii="Arial" w:cs="Arial" w:eastAsia="Arial" w:hAnsi="Arial"/>
          <w:color w:val="1C1C1C"/>
          <w:sz w:val="22"/>
          <w:szCs w:val="22"/>
        </w:rPr>
        <w:t xml:space="preserve">FHIR R4 Observation resource — to pull vital signs and lab results.</w:t>
      </w:r>
    </w:p>
    <w:p>
      <w:pPr>
        <w:spacing w:before="80" w:after="80"/>
      </w:pPr>
      <w:r>
        <w:rPr>
          <w:rFonts w:ascii="Arial" w:cs="Arial" w:eastAsia="Arial" w:hAnsi="Arial"/>
          <w:b w:val="false"/>
          <w:bCs w:val="false"/>
          <w:color w:val="1C1C1C"/>
          <w:sz w:val="22"/>
          <w:szCs w:val="22"/>
        </w:rPr>
        <w:t xml:space="preserve">The connector is deployed as a lightweight mediator service (Node.js / Python FastAPI) that runs within or adjacent to each facility's network, polls OpenMRS on a configurable schedule (hourly during working hours, daily off-hours), transforms FHIR bundles into TRIP's internal data schema, and pushes to TRIP's central data lake over an encrypted channel. This mediator pattern follows OpenHIE architecture, where OpenHIM (Health Information Mediator) sits between source systems and the central repository.</w:t>
      </w:r>
    </w:p>
    <w:p>
      <w:pPr>
        <w:pStyle w:val="Heading3"/>
        <w:spacing w:before="180" w:after="80"/>
      </w:pPr>
      <w:r>
        <w:rPr>
          <w:rFonts w:ascii="Arial" w:cs="Arial" w:eastAsia="Arial" w:hAnsi="Arial"/>
          <w:b/>
          <w:bCs/>
          <w:color w:val="1B4F72"/>
          <w:sz w:val="24"/>
          <w:szCs w:val="24"/>
        </w:rPr>
        <w:t xml:space="preserve">6.2.3 Afya eHMS Connector</w:t>
      </w:r>
    </w:p>
    <w:p>
      <w:pPr>
        <w:spacing w:before="80" w:after="80"/>
      </w:pPr>
      <w:r>
        <w:rPr>
          <w:rFonts w:ascii="Arial" w:cs="Arial" w:eastAsia="Arial" w:hAnsi="Arial"/>
          <w:b w:val="false"/>
          <w:bCs w:val="false"/>
          <w:color w:val="1C1C1C"/>
          <w:sz w:val="22"/>
          <w:szCs w:val="22"/>
        </w:rPr>
        <w:t xml:space="preserve">Afya eHMS is also OpenMRS-based (AfyaCare lineage), meaning the same FHIR2 module approach applies. Regional hospitals present a higher data quality baseline than primary facilities, making Afya eHMS the highest-priority connector for readmission intelligence given the volume and acuity of cases at Tier 2–3.</w:t>
      </w:r>
    </w:p>
    <w:p>
      <w:pPr>
        <w:pStyle w:val="Heading3"/>
        <w:spacing w:before="180" w:after="80"/>
      </w:pPr>
      <w:r>
        <w:rPr>
          <w:rFonts w:ascii="Arial" w:cs="Arial" w:eastAsia="Arial" w:hAnsi="Arial"/>
          <w:b/>
          <w:bCs/>
          <w:color w:val="1B4F72"/>
          <w:sz w:val="24"/>
          <w:szCs w:val="24"/>
        </w:rPr>
        <w:t xml:space="preserve">6.2.4 CTC2 (HIV/ART) Connector</w:t>
      </w:r>
    </w:p>
    <w:p>
      <w:pPr>
        <w:spacing w:before="80" w:after="80"/>
      </w:pPr>
      <w:r>
        <w:rPr>
          <w:rFonts w:ascii="Arial" w:cs="Arial" w:eastAsia="Arial" w:hAnsi="Arial"/>
          <w:b w:val="false"/>
          <w:bCs w:val="false"/>
          <w:color w:val="1C1C1C"/>
          <w:sz w:val="22"/>
          <w:szCs w:val="22"/>
        </w:rPr>
        <w:t xml:space="preserve">HIV treatment data is critical for Tanzania-calibrated readmission prediction. CTC2 is a standalone system managed by NACP (National AIDS Control Programme). Connector strategy requires a formal data access agreement with NACP. Once obtained, CTC2 exposes patient-level HIV care events which TRIP uses to flag HIV/ART status as a model feature — not to expose HIV status in any role-based view below the clinician level.</w:t>
      </w:r>
    </w:p>
    <w:p>
      <w:pPr>
        <w:pStyle w:val="Heading3"/>
        <w:spacing w:before="180" w:after="80"/>
      </w:pPr>
      <w:r>
        <w:rPr>
          <w:rFonts w:ascii="Arial" w:cs="Arial" w:eastAsia="Arial" w:hAnsi="Arial"/>
          <w:b/>
          <w:bCs/>
          <w:color w:val="1B4F72"/>
          <w:sz w:val="24"/>
          <w:szCs w:val="24"/>
        </w:rPr>
        <w:t xml:space="preserve">6.2.5 Master Facility Registry (HFR) Connector</w:t>
      </w:r>
    </w:p>
    <w:p>
      <w:pPr>
        <w:spacing w:before="80" w:after="80"/>
      </w:pPr>
      <w:r>
        <w:rPr>
          <w:rFonts w:ascii="Arial" w:cs="Arial" w:eastAsia="Arial" w:hAnsi="Arial"/>
          <w:b w:val="false"/>
          <w:bCs w:val="false"/>
          <w:color w:val="1C1C1C"/>
          <w:sz w:val="22"/>
          <w:szCs w:val="22"/>
        </w:rPr>
        <w:t xml:space="preserve">TRIP periodically syncs with MoH's HFR to maintain its facility registry. This is a read-only pull, using the HFR's API. New facilities appearing in the HFR trigger a notification to the relevant DHIO to consider onboarding them into TRIP.</w:t>
      </w:r>
    </w:p>
    <w:p>
      <w:pPr>
        <w:pStyle w:val="Heading2"/>
        <w:spacing w:before="240" w:after="100"/>
      </w:pPr>
      <w:r>
        <w:rPr>
          <w:rFonts w:ascii="Arial" w:cs="Arial" w:eastAsia="Arial" w:hAnsi="Arial"/>
          <w:b/>
          <w:bCs/>
          <w:color w:val="1A7A50"/>
          <w:sz w:val="30"/>
          <w:szCs w:val="30"/>
        </w:rPr>
        <w:t xml:space="preserve">6.3 Standards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gridSpan w:val="1"/>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Standard</w:t>
            </w:r>
          </w:p>
        </w:tc>
        <w:tc>
          <w:tcPr>
            <w:gridSpan w:val="1"/>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Use in TRIP</w:t>
            </w:r>
          </w:p>
        </w:tc>
        <w:tc>
          <w:tcPr>
            <w:gridSpan w:val="1"/>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Implementation Status Target</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HL7 FHIR R4</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Patient, Encounter, Condition, Observation resources for EMR integration</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Phase 1 (GoT-HoMIS pilot)</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ICD-10-CM</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Disease coding for readmission features, Tanzania-localized code mapping</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Active in current ML pipeline</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SNOMED CT</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Procedure and finding codes (future phase)</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Phase 3</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OpenHIE Architecture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Mediator pattern, client registry, shared health record pattern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Phase 1 mediator; Phase 2 SHR</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DHIS2 API v40+</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Organisation unit hierarchy, aggregate and tracker data</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Active (demo); Phase 1 (production)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OAuth 2.0 / OpenID Connect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Authentication for all system-to-system and user-facing APIs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Phase 0 (current platform)</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AES-256 Encryption</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PII encryption at rest — mandatory before any real data ingestion</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Phase 1 prerequisite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TLS 1.3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All data in transit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Active (current platform)</w:t>
            </w:r>
          </w:p>
        </w:tc>
      </w:tr>
    </w:tbl>
    <w:p>
      <w:pPr>
        <w:pStyle w:val="Heading2"/>
        <w:spacing w:before="240" w:after="100"/>
      </w:pPr>
      <w:r>
        <w:rPr>
          <w:rFonts w:ascii="Arial" w:cs="Arial" w:eastAsia="Arial" w:hAnsi="Arial"/>
          <w:b/>
          <w:bCs/>
          <w:color w:val="1A7A50"/>
          <w:sz w:val="30"/>
          <w:szCs w:val="30"/>
        </w:rPr>
        <w:t xml:space="preserve">6.4 Offline-First Architecture for Connectivity-Limited Facilities</w:t>
      </w:r>
    </w:p>
    <w:p>
      <w:pPr>
        <w:spacing w:before="80" w:after="80"/>
      </w:pPr>
      <w:r>
        <w:rPr>
          <w:rFonts w:ascii="Arial" w:cs="Arial" w:eastAsia="Arial" w:hAnsi="Arial"/>
          <w:b w:val="false"/>
          <w:bCs w:val="false"/>
          <w:color w:val="1C1C1C"/>
          <w:sz w:val="22"/>
          <w:szCs w:val="22"/>
        </w:rPr>
        <w:t xml:space="preserve">Tanzania's rural facilities have unreliable or absent internet connectivity. TRIP's facility-facing components must support an offline-first model: data is collected and predictions are cached locally, then synchronised when connectivity is restored. The implementation uses a service worker (PWA) architecture for the browser client and a local SQLite store in the mediator process for the API layer. Prediction inference for offline facilities uses a compressed, on-device model (ONNX format exported from the Python ML pipeline) capable of running on low-spec Android hardware.</w:t>
      </w:r>
    </w:p>
    <w:p>
      <w:r>
        <w:br w:type="page"/>
      </w:r>
    </w:p>
    <w:p>
      <w:pPr>
        <w:pStyle w:val="Heading1"/>
        <w:spacing w:before="320" w:after="160"/>
      </w:pPr>
      <w:r>
        <w:rPr>
          <w:rFonts w:ascii="Arial" w:cs="Arial" w:eastAsia="Arial" w:hAnsi="Arial"/>
          <w:b/>
          <w:bCs/>
          <w:color w:val="1B4F72"/>
          <w:sz w:val="40"/>
          <w:szCs w:val="40"/>
        </w:rPr>
        <w:t xml:space="preserve">7. Roles and Access Control Architecture</w:t>
      </w:r>
    </w:p>
    <w:p>
      <w:pPr>
        <w:spacing w:before="80" w:after="80"/>
      </w:pPr>
      <w:r>
        <w:rPr>
          <w:rFonts w:ascii="Arial" w:cs="Arial" w:eastAsia="Arial" w:hAnsi="Arial"/>
          <w:b w:val="false"/>
          <w:bCs w:val="false"/>
          <w:color w:val="1C1C1C"/>
          <w:sz w:val="22"/>
          <w:szCs w:val="22"/>
        </w:rPr>
        <w:t xml:space="preserve">Access control in a national health platform operating across Tanzania's 60,000+ health workers requires a design that is simultaneously secure, granular, and operationally manageable. The following model defines roles, data visibility, and the audit governance that enforces accountability.</w:t>
      </w:r>
    </w:p>
    <w:p>
      <w:pPr>
        <w:pStyle w:val="Heading2"/>
        <w:spacing w:before="240" w:after="100"/>
      </w:pPr>
      <w:r>
        <w:rPr>
          <w:rFonts w:ascii="Arial" w:cs="Arial" w:eastAsia="Arial" w:hAnsi="Arial"/>
          <w:b/>
          <w:bCs/>
          <w:color w:val="1A7A50"/>
          <w:sz w:val="30"/>
          <w:szCs w:val="30"/>
        </w:rPr>
        <w:t xml:space="preserve">7.1 Role Taxonomy — Aligned with Tanzania's Actual Workforce</w:t>
      </w:r>
    </w:p>
    <w:p>
      <w:pPr>
        <w:spacing w:before="80" w:after="80"/>
      </w:pPr>
      <w:r>
        <w:rPr>
          <w:rFonts w:ascii="Arial" w:cs="Arial" w:eastAsia="Arial" w:hAnsi="Arial"/>
          <w:b w:val="false"/>
          <w:bCs w:val="false"/>
          <w:color w:val="1C1C1C"/>
          <w:sz w:val="22"/>
          <w:szCs w:val="22"/>
        </w:rPr>
        <w:t xml:space="preserve">Tanzania's health system employs doctors, clinical officers, assistant medical officers, nurses, midwives, pharmacists, lab technicians, health records officers, and a range of administrative and management staff across seven facility tiers and four administrative levels. TRIP's role model maps directly to this workforce: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960"/>
        <w:gridCol w:w="1960"/>
        <w:gridCol w:w="1840"/>
      </w:tblGrid>
      <w:tr>
        <w:tc>
          <w:tcPr>
            <w:gridSpan w:val="1"/>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Role</w:t>
            </w:r>
          </w:p>
        </w:tc>
        <w:tc>
          <w:tcPr>
            <w:gridSpan w:val="1"/>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TRIP Role Code</w:t>
            </w:r>
          </w:p>
        </w:tc>
        <w:tc>
          <w:tcPr>
            <w:gridSpan w:val="1"/>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Sees Patient Data?</w:t>
            </w:r>
          </w:p>
        </w:tc>
        <w:tc>
          <w:tcPr>
            <w:gridSpan w:val="1"/>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Sees Facility Aggregate?</w:t>
            </w:r>
          </w:p>
        </w:tc>
        <w:tc>
          <w:tcPr>
            <w:gridSpan w:val="1"/>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Can Configure?</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8"/>
                <w:szCs w:val="18"/>
              </w:rPr>
              <w:t xml:space="preserve">Clinician (Doctor / CO / AMO)</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CLINICIAN</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Yes — own facility patients only</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Own facility only</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No</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8"/>
                <w:szCs w:val="18"/>
              </w:rPr>
              <w:t xml:space="preserve">Nurse / Midwife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NURSE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Yes — own ward/unit only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Own ward only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No</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8"/>
                <w:szCs w:val="18"/>
              </w:rPr>
              <w:t xml:space="preserve">Health Records Officer</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HRO</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Yes — own facility, all wards</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Own facility only</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No (data entry only)</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8"/>
                <w:szCs w:val="18"/>
              </w:rPr>
              <w:t xml:space="preserve">Pharmacist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PHARMACIST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Medication data only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No</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No</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8"/>
                <w:szCs w:val="18"/>
              </w:rPr>
              <w:t xml:space="preserve">Laboratory Technician</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LAB_TECH</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Lab-relevant data only</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No</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No</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8"/>
                <w:szCs w:val="18"/>
              </w:rPr>
              <w:t xml:space="preserve">Facility Administrator (TFADMIN)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TFADMIN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No patient PII</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Own facility aggregate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Facility settings only</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8"/>
                <w:szCs w:val="18"/>
              </w:rPr>
              <w:t xml:space="preserve">District Health Information Officer</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DHIO</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Anonymized, aggregated only</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All facilities in district</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District-level approval</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8"/>
                <w:szCs w:val="18"/>
              </w:rPr>
              <w:t xml:space="preserve">Council Health Management Team</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CHMT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No patient PII</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District aggregate + facility drill-down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No</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8"/>
                <w:szCs w:val="18"/>
              </w:rPr>
              <w:t xml:space="preserve">Regional Health Information Manager</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RHIM</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No patient PII</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Regional aggregate + district drill-down</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Regional onboarding</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8"/>
                <w:szCs w:val="18"/>
              </w:rPr>
              <w:t xml:space="preserve">Regional Health Management Team</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RHMT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No patient PII</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Regional aggregate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No</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8"/>
                <w:szCs w:val="18"/>
              </w:rPr>
              <w:t xml:space="preserve">Zonal Coordinator</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ZONAL_COORD</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No patient PII</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Zonal aggregate</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No</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8"/>
                <w:szCs w:val="18"/>
              </w:rPr>
              <w:t xml:space="preserve">MoH National Officer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MOH_OFFICER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Anonymized + audit-gated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National aggregate + all tiers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National settings</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8"/>
                <w:szCs w:val="18"/>
              </w:rPr>
              <w:t xml:space="preserve">National Auditor</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AUDITOR</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Full access with audit log</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All levels</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No</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8"/>
                <w:szCs w:val="18"/>
              </w:rPr>
              <w:t xml:space="preserve">TRIP System Administrator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TRIP_SYSADMIN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Technical access only (no clinical data)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All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Full system</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8"/>
                <w:szCs w:val="18"/>
              </w:rPr>
              <w:t xml:space="preserve">Integration Officer</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INT_OFFICER</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Read-only technical access</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None</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8"/>
                <w:szCs w:val="18"/>
              </w:rPr>
              <w:t xml:space="preserve">Integration config</w:t>
            </w:r>
          </w:p>
        </w:tc>
      </w:tr>
    </w:tbl>
    <w:p>
      <w:pPr>
        <w:pStyle w:val="Heading2"/>
        <w:spacing w:before="240" w:after="100"/>
      </w:pPr>
      <w:r>
        <w:rPr>
          <w:rFonts w:ascii="Arial" w:cs="Arial" w:eastAsia="Arial" w:hAnsi="Arial"/>
          <w:b/>
          <w:bCs/>
          <w:color w:val="1A7A50"/>
          <w:sz w:val="30"/>
          <w:szCs w:val="30"/>
        </w:rPr>
        <w:t xml:space="preserve">7.2 Data Visibility Rules — Precise Definitions</w:t>
      </w:r>
    </w:p>
    <w:p>
      <w:pPr>
        <w:pStyle w:val="Heading3"/>
        <w:spacing w:before="180" w:after="80"/>
      </w:pPr>
      <w:r>
        <w:rPr>
          <w:rFonts w:ascii="Arial" w:cs="Arial" w:eastAsia="Arial" w:hAnsi="Arial"/>
          <w:b/>
          <w:bCs/>
          <w:color w:val="1B4F72"/>
          <w:sz w:val="24"/>
          <w:szCs w:val="24"/>
        </w:rPr>
        <w:t xml:space="preserve">7.2.1 Who Sees Individual Patient Data</w:t>
      </w:r>
    </w:p>
    <w:p>
      <w:pPr>
        <w:spacing w:before="80" w:after="80"/>
      </w:pPr>
      <w:r>
        <w:rPr>
          <w:rFonts w:ascii="Arial" w:cs="Arial" w:eastAsia="Arial" w:hAnsi="Arial"/>
          <w:b w:val="false"/>
          <w:bCs w:val="false"/>
          <w:color w:val="1C1C1C"/>
          <w:sz w:val="22"/>
          <w:szCs w:val="22"/>
        </w:rPr>
        <w:t xml:space="preserve">Individual patient data — name, date of birth, phone number, diagnosis, readmission risk score with SHAP drivers — is visible only to:</w:t>
      </w:r>
    </w:p>
    <w:p>
      <w:pPr>
        <w:pStyle w:val="ListParagraph"/>
        <w:numPr>
          <w:ilvl w:val="0"/>
          <w:numId w:val="2"/>
        </w:numPr>
        <w:spacing w:before="40" w:after="40"/>
      </w:pPr>
      <w:r>
        <w:rPr>
          <w:rFonts w:ascii="Arial" w:cs="Arial" w:eastAsia="Arial" w:hAnsi="Arial"/>
          <w:color w:val="1C1C1C"/>
          <w:sz w:val="22"/>
          <w:szCs w:val="22"/>
        </w:rPr>
        <w:t xml:space="preserve">CLINICIAN role: all patients admitted to or recently discharged from their assigned facility, subject to department/ward scoping if configured.</w:t>
      </w:r>
    </w:p>
    <w:p>
      <w:pPr>
        <w:pStyle w:val="ListParagraph"/>
        <w:numPr>
          <w:ilvl w:val="0"/>
          <w:numId w:val="2"/>
        </w:numPr>
        <w:spacing w:before="40" w:after="40"/>
      </w:pPr>
      <w:r>
        <w:rPr>
          <w:rFonts w:ascii="Arial" w:cs="Arial" w:eastAsia="Arial" w:hAnsi="Arial"/>
          <w:color w:val="1C1C1C"/>
          <w:sz w:val="22"/>
          <w:szCs w:val="22"/>
        </w:rPr>
        <w:t xml:space="preserve">NURSE role: patients in their assigned ward or unit only, with a scope limited to the current admission episode.</w:t>
      </w:r>
    </w:p>
    <w:p>
      <w:pPr>
        <w:pStyle w:val="ListParagraph"/>
        <w:numPr>
          <w:ilvl w:val="0"/>
          <w:numId w:val="2"/>
        </w:numPr>
        <w:spacing w:before="40" w:after="40"/>
      </w:pPr>
      <w:r>
        <w:rPr>
          <w:rFonts w:ascii="Arial" w:cs="Arial" w:eastAsia="Arial" w:hAnsi="Arial"/>
          <w:color w:val="1C1C1C"/>
          <w:sz w:val="22"/>
          <w:szCs w:val="22"/>
        </w:rPr>
        <w:t xml:space="preserve">HRO role: all patients in their facility for purposes of data entry, validation, and record management — but HROs see administrative data, not clinical notes or readmission risk scores.</w:t>
      </w:r>
    </w:p>
    <w:p>
      <w:pPr>
        <w:pStyle w:val="ListParagraph"/>
        <w:numPr>
          <w:ilvl w:val="0"/>
          <w:numId w:val="2"/>
        </w:numPr>
        <w:spacing w:before="40" w:after="40"/>
      </w:pPr>
      <w:r>
        <w:rPr>
          <w:rFonts w:ascii="Arial" w:cs="Arial" w:eastAsia="Arial" w:hAnsi="Arial"/>
          <w:color w:val="1C1C1C"/>
          <w:sz w:val="22"/>
          <w:szCs w:val="22"/>
        </w:rPr>
        <w:t xml:space="preserve">AUDITOR role: any patient record, in any facility, but every access generates an immutable audit log entry including the auditor's identity, timestamp, patient identifier accessed, and stated reason. Audit access is time-limited (session-based) and must be approved by the MOH_OFFICER role.</w:t>
      </w:r>
    </w:p>
    <w:p>
      <w:pPr>
        <w:shd w:fill="FDEDEC" w:val="clear"/>
        <w:spacing w:before="80" w:after="80"/>
        <w:ind w:left="360" w:right="360"/>
      </w:pPr>
      <w:r>
        <w:rPr>
          <w:rFonts w:ascii="Arial" w:cs="Arial" w:eastAsia="Arial" w:hAnsi="Arial"/>
          <w:color w:val="1B4F72"/>
          <w:sz w:val="20"/>
          <w:szCs w:val="20"/>
        </w:rPr>
        <w:t xml:space="preserve">HIV status is never displayed in a TRIP interface regardless of role. It is used as a binary model feature internally (is_hiv_positive: boolean, sourced from CTC2 with patient consent) but is never surfaced in any dashboard, report, or risk explanation output.</w:t>
      </w:r>
    </w:p>
    <w:p>
      <w:pPr>
        <w:pStyle w:val="Heading3"/>
        <w:spacing w:before="180" w:after="80"/>
      </w:pPr>
      <w:r>
        <w:rPr>
          <w:rFonts w:ascii="Arial" w:cs="Arial" w:eastAsia="Arial" w:hAnsi="Arial"/>
          <w:b/>
          <w:bCs/>
          <w:color w:val="1B4F72"/>
          <w:sz w:val="24"/>
          <w:szCs w:val="24"/>
        </w:rPr>
        <w:t xml:space="preserve">7.2.2 Who Sees Facility-Level Data</w:t>
      </w:r>
    </w:p>
    <w:p>
      <w:pPr>
        <w:spacing w:before="80" w:after="80"/>
      </w:pPr>
      <w:r>
        <w:rPr>
          <w:rFonts w:ascii="Arial" w:cs="Arial" w:eastAsia="Arial" w:hAnsi="Arial"/>
          <w:b w:val="false"/>
          <w:bCs w:val="false"/>
          <w:color w:val="1C1C1C"/>
          <w:sz w:val="22"/>
          <w:szCs w:val="22"/>
        </w:rPr>
        <w:t xml:space="preserve">Facility-level aggregate data — readmission rate by month, high-risk patient count, disease-stratified readmission breakdown — is visible to TFADMIN, DHIO, CHMT, RHIM, RHMT, ZONAL_COORD, and MOH_OFFICER for facilities within their administrative scope. Facility-level data is always aggregate and never traces to an individual patient.</w:t>
      </w:r>
    </w:p>
    <w:p>
      <w:pPr>
        <w:pStyle w:val="Heading3"/>
        <w:spacing w:before="180" w:after="80"/>
      </w:pPr>
      <w:r>
        <w:rPr>
          <w:rFonts w:ascii="Arial" w:cs="Arial" w:eastAsia="Arial" w:hAnsi="Arial"/>
          <w:b/>
          <w:bCs/>
          <w:color w:val="1B4F72"/>
          <w:sz w:val="24"/>
          <w:szCs w:val="24"/>
        </w:rPr>
        <w:t xml:space="preserve">7.2.3 Who Sees Population / National Data</w:t>
      </w:r>
    </w:p>
    <w:p>
      <w:pPr>
        <w:spacing w:before="80" w:after="80"/>
      </w:pPr>
      <w:r>
        <w:rPr>
          <w:rFonts w:ascii="Arial" w:cs="Arial" w:eastAsia="Arial" w:hAnsi="Arial"/>
          <w:b w:val="false"/>
          <w:bCs w:val="false"/>
          <w:color w:val="1C1C1C"/>
          <w:sz w:val="22"/>
          <w:szCs w:val="22"/>
        </w:rPr>
        <w:t xml:space="preserve">National-level intelligence — readmission burden map by region, disease-condition-specific national readmission rates, trend analysis, inter-facility benchmarking — is visible to MOH_OFFICER, ZONAL_COORD, RHMT, and AUDITOR. No individual patient identity is accessible at this level under any circumstances without an audited AUDITOR session.</w:t>
      </w:r>
    </w:p>
    <w:p>
      <w:pPr>
        <w:pStyle w:val="Heading2"/>
        <w:spacing w:before="240" w:after="100"/>
      </w:pPr>
      <w:r>
        <w:rPr>
          <w:rFonts w:ascii="Arial" w:cs="Arial" w:eastAsia="Arial" w:hAnsi="Arial"/>
          <w:b/>
          <w:bCs/>
          <w:color w:val="1A7A50"/>
          <w:sz w:val="30"/>
          <w:szCs w:val="30"/>
        </w:rPr>
        <w:t xml:space="preserve">7.3 Role Assignment and Governance</w:t>
      </w:r>
    </w:p>
    <w:p>
      <w:pPr>
        <w:spacing w:before="80" w:after="80"/>
      </w:pPr>
      <w:r>
        <w:rPr>
          <w:rFonts w:ascii="Arial" w:cs="Arial" w:eastAsia="Arial" w:hAnsi="Arial"/>
          <w:b w:val="false"/>
          <w:bCs w:val="false"/>
          <w:color w:val="1C1C1C"/>
          <w:sz w:val="22"/>
          <w:szCs w:val="22"/>
        </w:rPr>
        <w:t xml:space="preserve">Role assignment follows a delegated authority model mirroring Tanzania's administrative structure:</w:t>
      </w:r>
    </w:p>
    <w:p>
      <w:pPr>
        <w:pStyle w:val="ListParagraph"/>
        <w:numPr>
          <w:ilvl w:val="0"/>
          <w:numId w:val="2"/>
        </w:numPr>
        <w:spacing w:before="40" w:after="40"/>
      </w:pPr>
      <w:r>
        <w:rPr>
          <w:rFonts w:ascii="Arial" w:cs="Arial" w:eastAsia="Arial" w:hAnsi="Arial"/>
          <w:color w:val="1C1C1C"/>
          <w:sz w:val="22"/>
          <w:szCs w:val="22"/>
        </w:rPr>
        <w:t xml:space="preserve">TRIP_SYSADMIN assigns RHIM and MOH_OFFICER roles.</w:t>
      </w:r>
    </w:p>
    <w:p>
      <w:pPr>
        <w:pStyle w:val="ListParagraph"/>
        <w:numPr>
          <w:ilvl w:val="0"/>
          <w:numId w:val="2"/>
        </w:numPr>
        <w:spacing w:before="40" w:after="40"/>
      </w:pPr>
      <w:r>
        <w:rPr>
          <w:rFonts w:ascii="Arial" w:cs="Arial" w:eastAsia="Arial" w:hAnsi="Arial"/>
          <w:color w:val="1C1C1C"/>
          <w:sz w:val="22"/>
          <w:szCs w:val="22"/>
        </w:rPr>
        <w:t xml:space="preserve">RHIM assigns DHIO and TFADMIN roles for facilities in their region.</w:t>
      </w:r>
    </w:p>
    <w:p>
      <w:pPr>
        <w:pStyle w:val="ListParagraph"/>
        <w:numPr>
          <w:ilvl w:val="0"/>
          <w:numId w:val="2"/>
        </w:numPr>
        <w:spacing w:before="40" w:after="40"/>
      </w:pPr>
      <w:r>
        <w:rPr>
          <w:rFonts w:ascii="Arial" w:cs="Arial" w:eastAsia="Arial" w:hAnsi="Arial"/>
          <w:color w:val="1C1C1C"/>
          <w:sz w:val="22"/>
          <w:szCs w:val="22"/>
        </w:rPr>
        <w:t xml:space="preserve">TFADMIN assigns CLINICIAN, NURSE, HRO, PHARMACIST, and LAB_TECH roles for their facility.</w:t>
      </w:r>
    </w:p>
    <w:p>
      <w:pPr>
        <w:pStyle w:val="ListParagraph"/>
        <w:numPr>
          <w:ilvl w:val="0"/>
          <w:numId w:val="2"/>
        </w:numPr>
        <w:spacing w:before="40" w:after="40"/>
      </w:pPr>
      <w:r>
        <w:rPr>
          <w:rFonts w:ascii="Arial" w:cs="Arial" w:eastAsia="Arial" w:hAnsi="Arial"/>
          <w:color w:val="1C1C1C"/>
          <w:sz w:val="22"/>
          <w:szCs w:val="22"/>
        </w:rPr>
        <w:t xml:space="preserve">No user can assign a role higher than their own.</w:t>
      </w:r>
    </w:p>
    <w:p>
      <w:pPr>
        <w:pStyle w:val="ListParagraph"/>
        <w:numPr>
          <w:ilvl w:val="0"/>
          <w:numId w:val="2"/>
        </w:numPr>
        <w:spacing w:before="40" w:after="40"/>
      </w:pPr>
      <w:r>
        <w:rPr>
          <w:rFonts w:ascii="Arial" w:cs="Arial" w:eastAsia="Arial" w:hAnsi="Arial"/>
          <w:color w:val="1C1C1C"/>
          <w:sz w:val="22"/>
          <w:szCs w:val="22"/>
        </w:rPr>
        <w:t xml:space="preserve">All role assignments generate an audit log entry.</w:t>
      </w:r>
    </w:p>
    <w:p>
      <w:pPr>
        <w:pStyle w:val="ListParagraph"/>
        <w:numPr>
          <w:ilvl w:val="0"/>
          <w:numId w:val="2"/>
        </w:numPr>
        <w:spacing w:before="40" w:after="40"/>
      </w:pPr>
      <w:r>
        <w:rPr>
          <w:rFonts w:ascii="Arial" w:cs="Arial" w:eastAsia="Arial" w:hAnsi="Arial"/>
          <w:color w:val="1C1C1C"/>
          <w:sz w:val="22"/>
          <w:szCs w:val="22"/>
        </w:rPr>
        <w:t xml:space="preserve">Roles expire automatically after 365 days and must be renewed — this prevents ghost accounts for staff who have left a facility.</w:t>
      </w:r>
    </w:p>
    <w:p>
      <w:pPr>
        <w:pStyle w:val="Heading2"/>
        <w:spacing w:before="240" w:after="100"/>
      </w:pPr>
      <w:r>
        <w:rPr>
          <w:rFonts w:ascii="Arial" w:cs="Arial" w:eastAsia="Arial" w:hAnsi="Arial"/>
          <w:b/>
          <w:bCs/>
          <w:color w:val="1A7A50"/>
          <w:sz w:val="30"/>
          <w:szCs w:val="30"/>
        </w:rPr>
        <w:t xml:space="preserve">7.4 Audit Trail Architecture</w:t>
      </w:r>
    </w:p>
    <w:p>
      <w:pPr>
        <w:spacing w:before="80" w:after="80"/>
      </w:pPr>
      <w:r>
        <w:rPr>
          <w:rFonts w:ascii="Arial" w:cs="Arial" w:eastAsia="Arial" w:hAnsi="Arial"/>
          <w:b w:val="false"/>
          <w:bCs w:val="false"/>
          <w:color w:val="1C1C1C"/>
          <w:sz w:val="22"/>
          <w:szCs w:val="22"/>
        </w:rPr>
        <w:t xml:space="preserve">TRIP's audit system is not a conventional application log. It is an immutable, append-only audit ledger — modelled on the approach used in Singapore's NEHR and the UK's NHS Spine — where every access to patient data, every role change, every configuration modification, and every ML prediction generated is recorded with:</w:t>
      </w:r>
    </w:p>
    <w:p>
      <w:pPr>
        <w:pStyle w:val="ListParagraph"/>
        <w:numPr>
          <w:ilvl w:val="0"/>
          <w:numId w:val="2"/>
        </w:numPr>
        <w:spacing w:before="40" w:after="40"/>
      </w:pPr>
      <w:r>
        <w:rPr>
          <w:rFonts w:ascii="Arial" w:cs="Arial" w:eastAsia="Arial" w:hAnsi="Arial"/>
          <w:color w:val="1C1C1C"/>
          <w:sz w:val="22"/>
          <w:szCs w:val="22"/>
        </w:rPr>
        <w:t xml:space="preserve">Timestamp (UTC, millisecond precision).</w:t>
      </w:r>
    </w:p>
    <w:p>
      <w:pPr>
        <w:pStyle w:val="ListParagraph"/>
        <w:numPr>
          <w:ilvl w:val="0"/>
          <w:numId w:val="2"/>
        </w:numPr>
        <w:spacing w:before="40" w:after="40"/>
      </w:pPr>
      <w:r>
        <w:rPr>
          <w:rFonts w:ascii="Arial" w:cs="Arial" w:eastAsia="Arial" w:hAnsi="Arial"/>
          <w:color w:val="1C1C1C"/>
          <w:sz w:val="22"/>
          <w:szCs w:val="22"/>
        </w:rPr>
        <w:t xml:space="preserve">User identifier and role at time of action.</w:t>
      </w:r>
    </w:p>
    <w:p>
      <w:pPr>
        <w:pStyle w:val="ListParagraph"/>
        <w:numPr>
          <w:ilvl w:val="0"/>
          <w:numId w:val="2"/>
        </w:numPr>
        <w:spacing w:before="40" w:after="40"/>
      </w:pPr>
      <w:r>
        <w:rPr>
          <w:rFonts w:ascii="Arial" w:cs="Arial" w:eastAsia="Arial" w:hAnsi="Arial"/>
          <w:color w:val="1C1C1C"/>
          <w:sz w:val="22"/>
          <w:szCs w:val="22"/>
        </w:rPr>
        <w:t xml:space="preserve">Facility and tenant scope.</w:t>
      </w:r>
    </w:p>
    <w:p>
      <w:pPr>
        <w:pStyle w:val="ListParagraph"/>
        <w:numPr>
          <w:ilvl w:val="0"/>
          <w:numId w:val="2"/>
        </w:numPr>
        <w:spacing w:before="40" w:after="40"/>
      </w:pPr>
      <w:r>
        <w:rPr>
          <w:rFonts w:ascii="Arial" w:cs="Arial" w:eastAsia="Arial" w:hAnsi="Arial"/>
          <w:color w:val="1C1C1C"/>
          <w:sz w:val="22"/>
          <w:szCs w:val="22"/>
        </w:rPr>
        <w:t xml:space="preserve">Action type (READ_PATIENT, GENERATE_PREDICTION, ASSIGN_ROLE, MODIFY_CONFIG, EXPORT_DATA, etc.).</w:t>
      </w:r>
    </w:p>
    <w:p>
      <w:pPr>
        <w:pStyle w:val="ListParagraph"/>
        <w:numPr>
          <w:ilvl w:val="0"/>
          <w:numId w:val="2"/>
        </w:numPr>
        <w:spacing w:before="40" w:after="40"/>
      </w:pPr>
      <w:r>
        <w:rPr>
          <w:rFonts w:ascii="Arial" w:cs="Arial" w:eastAsia="Arial" w:hAnsi="Arial"/>
          <w:color w:val="1C1C1C"/>
          <w:sz w:val="22"/>
          <w:szCs w:val="22"/>
        </w:rPr>
        <w:t xml:space="preserve">Resource identifier (patient pseudonym, facility code, etc.).</w:t>
      </w:r>
    </w:p>
    <w:p>
      <w:pPr>
        <w:pStyle w:val="ListParagraph"/>
        <w:numPr>
          <w:ilvl w:val="0"/>
          <w:numId w:val="2"/>
        </w:numPr>
        <w:spacing w:before="40" w:after="40"/>
      </w:pPr>
      <w:r>
        <w:rPr>
          <w:rFonts w:ascii="Arial" w:cs="Arial" w:eastAsia="Arial" w:hAnsi="Arial"/>
          <w:color w:val="1C1C1C"/>
          <w:sz w:val="22"/>
          <w:szCs w:val="22"/>
        </w:rPr>
        <w:t xml:space="preserve">IP address and device fingerprint.</w:t>
      </w:r>
    </w:p>
    <w:p>
      <w:pPr>
        <w:pStyle w:val="ListParagraph"/>
        <w:numPr>
          <w:ilvl w:val="0"/>
          <w:numId w:val="2"/>
        </w:numPr>
        <w:spacing w:before="40" w:after="40"/>
      </w:pPr>
      <w:r>
        <w:rPr>
          <w:rFonts w:ascii="Arial" w:cs="Arial" w:eastAsia="Arial" w:hAnsi="Arial"/>
          <w:color w:val="1C1C1C"/>
          <w:sz w:val="22"/>
          <w:szCs w:val="22"/>
        </w:rPr>
        <w:t xml:space="preserve">Outcome (SUCCESS, DENIED, ERROR).</w:t>
      </w:r>
    </w:p>
    <w:p>
      <w:pPr>
        <w:spacing w:before="80" w:after="80"/>
      </w:pPr>
      <w:r>
        <w:rPr>
          <w:rFonts w:ascii="Arial" w:cs="Arial" w:eastAsia="Arial" w:hAnsi="Arial"/>
          <w:b w:val="false"/>
          <w:bCs w:val="false"/>
          <w:color w:val="1C1C1C"/>
          <w:sz w:val="22"/>
          <w:szCs w:val="22"/>
        </w:rPr>
        <w:t xml:space="preserve">Audit logs are written to a separate, write-only audit database partition. Application-layer code has no DELETE or UPDATE permissions on this partition. Audit logs are retained for a minimum of 7 years. They are exportable (by AUDITOR role only) in standard formats for regulatory review. An anomaly detection module flags unusual access patterns — e.g., a single clinician accessing more than 50 patient records in a session, or access to records from a different facility — and alerts the TFADMIN and DHIO.</w:t>
      </w:r>
    </w:p>
    <w:p>
      <w:r>
        <w:br w:type="page"/>
      </w:r>
    </w:p>
    <w:p>
      <w:pPr>
        <w:pStyle w:val="Heading1"/>
        <w:spacing w:before="320" w:after="160"/>
      </w:pPr>
      <w:r>
        <w:rPr>
          <w:rFonts w:ascii="Arial" w:cs="Arial" w:eastAsia="Arial" w:hAnsi="Arial"/>
          <w:b/>
          <w:bCs/>
          <w:color w:val="1B4F72"/>
          <w:sz w:val="40"/>
          <w:szCs w:val="40"/>
        </w:rPr>
        <w:t xml:space="preserve">8. ML/AI Intelligence Layer — Production Strategy</w:t>
      </w:r>
    </w:p>
    <w:p>
      <w:pPr>
        <w:pStyle w:val="Heading2"/>
        <w:spacing w:before="240" w:after="100"/>
      </w:pPr>
      <w:r>
        <w:rPr>
          <w:rFonts w:ascii="Arial" w:cs="Arial" w:eastAsia="Arial" w:hAnsi="Arial"/>
          <w:b/>
          <w:bCs/>
          <w:color w:val="1A7A50"/>
          <w:sz w:val="30"/>
          <w:szCs w:val="30"/>
        </w:rPr>
        <w:t xml:space="preserve">8.1 What World-Class Implementations Actually Do</w:t>
      </w:r>
    </w:p>
    <w:p>
      <w:pPr>
        <w:spacing w:before="80" w:after="80"/>
      </w:pPr>
      <w:r>
        <w:rPr>
          <w:rFonts w:ascii="Arial" w:cs="Arial" w:eastAsia="Arial" w:hAnsi="Arial"/>
          <w:b w:val="false"/>
          <w:bCs w:val="false"/>
          <w:color w:val="1C1C1C"/>
          <w:sz w:val="22"/>
          <w:szCs w:val="22"/>
        </w:rPr>
        <w:t xml:space="preserve">The most instructive case study for TRIP is Zuckerberg San Francisco General Hospital's Epic-integrated readmission intelligence programme. Before 2017, they had the highest 30-day readmission rates among California safety-net hospitals. After embedding predictive models directly in the Epic discharge workflow — not as a separate tool, not as a separate dashboard — and pairing those predictions with structured clinical interventions, they achieved a reduction from 27.9% to 23.9% all-cause readmission rates and eliminated a racial disparity gap entirely.</w:t>
      </w:r>
    </w:p>
    <w:p>
      <w:pPr>
        <w:spacing w:before="80" w:after="80"/>
      </w:pPr>
      <w:r>
        <w:rPr>
          <w:rFonts w:ascii="Arial" w:cs="Arial" w:eastAsia="Arial" w:hAnsi="Arial"/>
          <w:b w:val="false"/>
          <w:bCs w:val="false"/>
          <w:color w:val="1C1C1C"/>
          <w:sz w:val="22"/>
          <w:szCs w:val="22"/>
        </w:rPr>
        <w:t xml:space="preserve">The lessons that transfer directly to TRIP:</w:t>
      </w:r>
    </w:p>
    <w:p>
      <w:pPr>
        <w:pStyle w:val="ListParagraph"/>
        <w:numPr>
          <w:ilvl w:val="0"/>
          <w:numId w:val="2"/>
        </w:numPr>
        <w:spacing w:before="40" w:after="40"/>
      </w:pPr>
      <w:r>
        <w:rPr>
          <w:rFonts w:ascii="Arial" w:cs="Arial" w:eastAsia="Arial" w:hAnsi="Arial"/>
          <w:color w:val="1C1C1C"/>
          <w:sz w:val="22"/>
          <w:szCs w:val="22"/>
        </w:rPr>
        <w:t xml:space="preserve">Embedding beats stand-alone. Risk scores that clinicians must go to a different application to see are ignored. TRIP must surface readmission risk inside the existing clinical workflow — in the discharge checklist, not on a separate analytics portal.</w:t>
      </w:r>
    </w:p>
    <w:p>
      <w:pPr>
        <w:pStyle w:val="ListParagraph"/>
        <w:numPr>
          <w:ilvl w:val="0"/>
          <w:numId w:val="2"/>
        </w:numPr>
        <w:spacing w:before="40" w:after="40"/>
      </w:pPr>
      <w:r>
        <w:rPr>
          <w:rFonts w:ascii="Arial" w:cs="Arial" w:eastAsia="Arial" w:hAnsi="Arial"/>
          <w:color w:val="1C1C1C"/>
          <w:sz w:val="22"/>
          <w:szCs w:val="22"/>
        </w:rPr>
        <w:t xml:space="preserve">SHAP explanations drive adoption. Clinicians trust a risk score when they can see why: "This patient is high risk because of 3 prior admissions in the past 6 months, uncontrolled hypertension, and malaria co-infection." Models without explanations are black boxes that clinicians learn to ignore.</w:t>
      </w:r>
    </w:p>
    <w:p>
      <w:pPr>
        <w:pStyle w:val="ListParagraph"/>
        <w:numPr>
          <w:ilvl w:val="0"/>
          <w:numId w:val="2"/>
        </w:numPr>
        <w:spacing w:before="40" w:after="40"/>
      </w:pPr>
      <w:r>
        <w:rPr>
          <w:rFonts w:ascii="Arial" w:cs="Arial" w:eastAsia="Arial" w:hAnsi="Arial"/>
          <w:color w:val="1C1C1C"/>
          <w:sz w:val="22"/>
          <w:szCs w:val="22"/>
        </w:rPr>
        <w:t xml:space="preserve">Population-level dashboards serve managers, not clinicians. A facility medical director needs to see the high-risk patient list for today's discharges. A district medical officer needs to see the three facilities with the highest 30-day readmission rates this month. These are different interfaces for different roles.</w:t>
      </w:r>
    </w:p>
    <w:p>
      <w:pPr>
        <w:pStyle w:val="ListParagraph"/>
        <w:numPr>
          <w:ilvl w:val="0"/>
          <w:numId w:val="2"/>
        </w:numPr>
        <w:spacing w:before="40" w:after="40"/>
      </w:pPr>
      <w:r>
        <w:rPr>
          <w:rFonts w:ascii="Arial" w:cs="Arial" w:eastAsia="Arial" w:hAnsi="Arial"/>
          <w:color w:val="1C1C1C"/>
          <w:sz w:val="22"/>
          <w:szCs w:val="22"/>
        </w:rPr>
        <w:t xml:space="preserve">The model must be locally calibrated. A model trained on US Medicare data, applied to Dar es Salaam patients, will fail. Tanzania-specific disease features — malaria burden, HIV/ART status, TB, SAM — are not optional additions; they are the dominant predictors in this patient population.</w:t>
      </w:r>
    </w:p>
    <w:p>
      <w:pPr>
        <w:pStyle w:val="Heading2"/>
        <w:spacing w:before="240" w:after="100"/>
      </w:pPr>
      <w:r>
        <w:rPr>
          <w:rFonts w:ascii="Arial" w:cs="Arial" w:eastAsia="Arial" w:hAnsi="Arial"/>
          <w:b/>
          <w:bCs/>
          <w:color w:val="1A7A50"/>
          <w:sz w:val="30"/>
          <w:szCs w:val="30"/>
        </w:rPr>
        <w:t xml:space="preserve">8.2 Required Model Improvements — Prioritized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2200"/>
        <w:gridCol w:w="3600"/>
        <w:gridCol w:w="3240"/>
      </w:tblGrid>
      <w:tr>
        <w:tc>
          <w:tcPr>
            <w:gridSpan w:val="1"/>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w:t>
            </w:r>
          </w:p>
        </w:tc>
        <w:tc>
          <w:tcPr>
            <w:gridSpan w:val="1"/>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Gap</w:t>
            </w:r>
          </w:p>
        </w:tc>
        <w:tc>
          <w:tcPr>
            <w:gridSpan w:val="1"/>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Current State</w:t>
            </w:r>
          </w:p>
        </w:tc>
        <w:tc>
          <w:tcPr>
            <w:gridSpan w:val="1"/>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Target State</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1</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Calibration bias</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iCs/>
                <w:color w:val="1C1C1C"/>
                <w:sz w:val="19"/>
                <w:szCs w:val="19"/>
              </w:rPr>
              <w:t xml:space="preserve">Synthetic readmission rate ~24.1% (2x actual)</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Recalibrate model with real data; target 10-14% base rate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Temporal validation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iCs/>
                <w:color w:val="1C1C1C"/>
                <w:sz w:val="19"/>
                <w:szCs w:val="19"/>
              </w:rPr>
              <w:t xml:space="preserve">Random K-fold cross-validation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18-month training / 6-month temporal holdout; walk-forward validation</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3</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Tanzania disease features</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iCs/>
                <w:color w:val="1C1C1C"/>
                <w:sz w:val="19"/>
                <w:szCs w:val="19"/>
              </w:rPr>
              <w:t xml:space="preserve">No malaria, HIV, TB, SAM, sickle cell features</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Add all five as model features; source from CTC2, GoT-HoMIS diagnosis codes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PII encryption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iCs/>
                <w:color w:val="1C1C1C"/>
                <w:sz w:val="19"/>
                <w:szCs w:val="19"/>
              </w:rPr>
              <w:t xml:space="preserve">Patient PII stored in plain text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AES-256 at rest, TLS 1.3 in transit — required before any real data</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5</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DHIS2 integration</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iCs/>
                <w:color w:val="1C1C1C"/>
                <w:sz w:val="19"/>
                <w:szCs w:val="19"/>
              </w:rPr>
              <w:t xml:space="preserve">Zero implementation (stub)</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Phase 1 DHIS2 connector with demo data; Phase 2 production credentials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6</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SMS notification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iCs/>
                <w:color w:val="1C1C1C"/>
                <w:sz w:val="19"/>
                <w:szCs w:val="19"/>
              </w:rPr>
              <w:t xml:space="preserve">Console.log stub</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Production SMS via Twilio or Africa's Talking (USSD/SMS gateway)</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7</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Model monitoring</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iCs/>
                <w:color w:val="1C1C1C"/>
                <w:sz w:val="19"/>
                <w:szCs w:val="19"/>
              </w:rPr>
              <w:t xml:space="preserve">None</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Monthly AUC drift check; facility-level calibration monitoring; automatic re-training trigger</w:t>
            </w:r>
          </w:p>
        </w:tc>
      </w:tr>
    </w:tbl>
    <w:p>
      <w:pPr>
        <w:pStyle w:val="Heading2"/>
        <w:spacing w:before="240" w:after="100"/>
      </w:pPr>
      <w:r>
        <w:rPr>
          <w:rFonts w:ascii="Arial" w:cs="Arial" w:eastAsia="Arial" w:hAnsi="Arial"/>
          <w:b/>
          <w:bCs/>
          <w:color w:val="1A7A50"/>
          <w:sz w:val="30"/>
          <w:szCs w:val="30"/>
        </w:rPr>
        <w:t xml:space="preserve">8.3 Model Architecture for Production</w:t>
      </w:r>
    </w:p>
    <w:p>
      <w:pPr>
        <w:spacing w:before="80" w:after="80"/>
      </w:pPr>
      <w:r>
        <w:rPr>
          <w:rFonts w:ascii="Arial" w:cs="Arial" w:eastAsia="Arial" w:hAnsi="Arial"/>
          <w:b w:val="false"/>
          <w:bCs w:val="false"/>
          <w:color w:val="1C1C1C"/>
          <w:sz w:val="22"/>
          <w:szCs w:val="22"/>
        </w:rPr>
        <w:t xml:space="preserve">The current architecture — scikit-learn pipeline with Random Forest classifier, Platt scaling calibration, and SHAP explainability — is a solid foundation. The following additions are required for production validity:</w:t>
      </w:r>
    </w:p>
    <w:p>
      <w:pPr>
        <w:pStyle w:val="Heading3"/>
        <w:spacing w:before="180" w:after="80"/>
      </w:pPr>
      <w:r>
        <w:rPr>
          <w:rFonts w:ascii="Arial" w:cs="Arial" w:eastAsia="Arial" w:hAnsi="Arial"/>
          <w:b/>
          <w:bCs/>
          <w:color w:val="1B4F72"/>
          <w:sz w:val="24"/>
          <w:szCs w:val="24"/>
        </w:rPr>
        <w:t xml:space="preserve">8.3.1 Temporal Holdout Validation</w:t>
      </w:r>
    </w:p>
    <w:p>
      <w:pPr>
        <w:spacing w:before="80" w:after="80"/>
      </w:pPr>
      <w:r>
        <w:rPr>
          <w:rFonts w:ascii="Arial" w:cs="Arial" w:eastAsia="Arial" w:hAnsi="Arial"/>
          <w:b w:val="false"/>
          <w:bCs w:val="false"/>
          <w:color w:val="1C1C1C"/>
          <w:sz w:val="22"/>
          <w:szCs w:val="22"/>
        </w:rPr>
        <w:t xml:space="preserve">Immediately replace K-fold cross-validation with a temporal split: train on months 1-18, validate on months 19-24. Report AUC-ROC, calibration curve (Brier score), sensitivity at 70% specificity, and positive predictive value. These are the metrics clinicians and health systems care about — not raw accuracy.</w:t>
      </w:r>
    </w:p>
    <w:p>
      <w:pPr>
        <w:pStyle w:val="Heading3"/>
        <w:spacing w:before="180" w:after="80"/>
      </w:pPr>
      <w:r>
        <w:rPr>
          <w:rFonts w:ascii="Arial" w:cs="Arial" w:eastAsia="Arial" w:hAnsi="Arial"/>
          <w:b/>
          <w:bCs/>
          <w:color w:val="1B4F72"/>
          <w:sz w:val="24"/>
          <w:szCs w:val="24"/>
        </w:rPr>
        <w:t xml:space="preserve">8.3.2 Disease-Specific Sub-Models</w:t>
      </w:r>
    </w:p>
    <w:p>
      <w:pPr>
        <w:spacing w:before="80" w:after="80"/>
      </w:pPr>
      <w:r>
        <w:rPr>
          <w:rFonts w:ascii="Arial" w:cs="Arial" w:eastAsia="Arial" w:hAnsi="Arial"/>
          <w:b w:val="false"/>
          <w:bCs w:val="false"/>
          <w:color w:val="1C1C1C"/>
          <w:sz w:val="22"/>
          <w:szCs w:val="22"/>
        </w:rPr>
        <w:t xml:space="preserve">The global model predicts all-cause readmission. Alongside this, train disease-specific sub-models for the five priority conditions: malaria, HIV/ART, tuberculosis, SAM, and sickle cell. When a patient's primary diagnosis falls in one of these categories, the sub-model's prediction supplements — not replaces — the global model output, and the risk explanation prioritises disease-specific features. This mirrors Epic's heart failure-specific model at ZSFG, which outperformed the global all-cause model for HF patients.</w:t>
      </w:r>
    </w:p>
    <w:p>
      <w:pPr>
        <w:pStyle w:val="Heading3"/>
        <w:spacing w:before="180" w:after="80"/>
      </w:pPr>
      <w:r>
        <w:rPr>
          <w:rFonts w:ascii="Arial" w:cs="Arial" w:eastAsia="Arial" w:hAnsi="Arial"/>
          <w:b/>
          <w:bCs/>
          <w:color w:val="1B4F72"/>
          <w:sz w:val="24"/>
          <w:szCs w:val="24"/>
        </w:rPr>
        <w:t xml:space="preserve">8.3.3 Social Determinants Integration</w:t>
      </w:r>
    </w:p>
    <w:p>
      <w:pPr>
        <w:spacing w:before="80" w:after="80"/>
      </w:pPr>
      <w:r>
        <w:rPr>
          <w:rFonts w:ascii="Arial" w:cs="Arial" w:eastAsia="Arial" w:hAnsi="Arial"/>
          <w:b w:val="false"/>
          <w:bCs w:val="false"/>
          <w:color w:val="1C1C1C"/>
          <w:sz w:val="22"/>
          <w:szCs w:val="22"/>
        </w:rPr>
        <w:t xml:space="preserve">Tanzania-specific social determinants — household distance from facility (estimated from residential ward), CHW coverage in the patient's catchment village, NHIF/CHF insurance coverage — must be integrated as model features. Evidence from both high-income and LMIC settings consistently shows that social determinants account for 30-40% of readmission risk variance that clinical variables alone cannot explain.</w:t>
      </w:r>
    </w:p>
    <w:p>
      <w:pPr>
        <w:pStyle w:val="Heading3"/>
        <w:spacing w:before="180" w:after="80"/>
      </w:pPr>
      <w:r>
        <w:rPr>
          <w:rFonts w:ascii="Arial" w:cs="Arial" w:eastAsia="Arial" w:hAnsi="Arial"/>
          <w:b/>
          <w:bCs/>
          <w:color w:val="1B4F72"/>
          <w:sz w:val="24"/>
          <w:szCs w:val="24"/>
        </w:rPr>
        <w:t xml:space="preserve">8.3.4 Facility-Level Calibration</w:t>
      </w:r>
    </w:p>
    <w:p>
      <w:pPr>
        <w:spacing w:before="80" w:after="80"/>
      </w:pPr>
      <w:r>
        <w:rPr>
          <w:rFonts w:ascii="Arial" w:cs="Arial" w:eastAsia="Arial" w:hAnsi="Arial"/>
          <w:b w:val="false"/>
          <w:bCs w:val="false"/>
          <w:color w:val="1C1C1C"/>
          <w:sz w:val="22"/>
          <w:szCs w:val="22"/>
        </w:rPr>
        <w:t xml:space="preserve">A model trained on data from Muhimbili National Hospital will not be well-calibrated when applied to a rural district hospital in Dodoma. Implement facility-level calibration layers: the global model generates a base risk score, and a facility-specific isotonic regression calibrator adjusts it based on that facility's own observed readmission rate. This is standard practice in production clinical ML systems and is the correct solution to the baseline rate mismatch problem.</w:t>
      </w:r>
    </w:p>
    <w:p>
      <w:pPr>
        <w:pStyle w:val="Heading2"/>
        <w:spacing w:before="240" w:after="100"/>
      </w:pPr>
      <w:r>
        <w:rPr>
          <w:rFonts w:ascii="Arial" w:cs="Arial" w:eastAsia="Arial" w:hAnsi="Arial"/>
          <w:b/>
          <w:bCs/>
          <w:color w:val="1A7A50"/>
          <w:sz w:val="30"/>
          <w:szCs w:val="30"/>
        </w:rPr>
        <w:t xml:space="preserve">8.4 Model Governance and Monitoring</w:t>
      </w:r>
    </w:p>
    <w:p>
      <w:pPr>
        <w:spacing w:before="80" w:after="80"/>
      </w:pPr>
      <w:r>
        <w:rPr>
          <w:rFonts w:ascii="Arial" w:cs="Arial" w:eastAsia="Arial" w:hAnsi="Arial"/>
          <w:b w:val="false"/>
          <w:bCs w:val="false"/>
          <w:color w:val="1C1C1C"/>
          <w:sz w:val="22"/>
          <w:szCs w:val="22"/>
        </w:rPr>
        <w:t xml:space="preserve">A clinical ML model is not a one-time deployment. It is a living system that can drift, degrade, and cause harm if not actively monitored. TRIP's model governance framework includes:</w:t>
      </w:r>
    </w:p>
    <w:p>
      <w:pPr>
        <w:pStyle w:val="ListParagraph"/>
        <w:numPr>
          <w:ilvl w:val="0"/>
          <w:numId w:val="2"/>
        </w:numPr>
        <w:spacing w:before="40" w:after="40"/>
      </w:pPr>
      <w:r>
        <w:rPr>
          <w:rFonts w:ascii="Arial" w:cs="Arial" w:eastAsia="Arial" w:hAnsi="Arial"/>
          <w:color w:val="1C1C1C"/>
          <w:sz w:val="22"/>
          <w:szCs w:val="22"/>
        </w:rPr>
        <w:t xml:space="preserve">Monthly AUC drift monitoring: compare the model's AUC on the most recent month's data against the baseline. If AUC drops more than 5 percentage points, trigger a retraining event and notify the TRIP_SYSADMIN.</w:t>
      </w:r>
    </w:p>
    <w:p>
      <w:pPr>
        <w:pStyle w:val="ListParagraph"/>
        <w:numPr>
          <w:ilvl w:val="0"/>
          <w:numId w:val="2"/>
        </w:numPr>
        <w:spacing w:before="40" w:after="40"/>
      </w:pPr>
      <w:r>
        <w:rPr>
          <w:rFonts w:ascii="Arial" w:cs="Arial" w:eastAsia="Arial" w:hAnsi="Arial"/>
          <w:color w:val="1C1C1C"/>
          <w:sz w:val="22"/>
          <w:szCs w:val="22"/>
        </w:rPr>
        <w:t xml:space="preserve">Facility-level calibration checks: for each facility with more than 100 discharges per month, compare the model's predicted readmission rate against the observed rate. Flag facilities where the predicted-to-observed ratio exceeds 1.5 or falls below 0.5.</w:t>
      </w:r>
    </w:p>
    <w:p>
      <w:pPr>
        <w:pStyle w:val="ListParagraph"/>
        <w:numPr>
          <w:ilvl w:val="0"/>
          <w:numId w:val="2"/>
        </w:numPr>
        <w:spacing w:before="40" w:after="40"/>
      </w:pPr>
      <w:r>
        <w:rPr>
          <w:rFonts w:ascii="Arial" w:cs="Arial" w:eastAsia="Arial" w:hAnsi="Arial"/>
          <w:color w:val="1C1C1C"/>
          <w:sz w:val="22"/>
          <w:szCs w:val="22"/>
        </w:rPr>
        <w:t xml:space="preserve">Clinician override tracking: when a clinician marks a patient as high-risk despite a low model score (or vice versa), this is a training signal. Track overrides systematically and use them to identify systematic model failures.</w:t>
      </w:r>
    </w:p>
    <w:p>
      <w:pPr>
        <w:pStyle w:val="ListParagraph"/>
        <w:numPr>
          <w:ilvl w:val="0"/>
          <w:numId w:val="2"/>
        </w:numPr>
        <w:spacing w:before="40" w:after="40"/>
      </w:pPr>
      <w:r>
        <w:rPr>
          <w:rFonts w:ascii="Arial" w:cs="Arial" w:eastAsia="Arial" w:hAnsi="Arial"/>
          <w:color w:val="1C1C1C"/>
          <w:sz w:val="22"/>
          <w:szCs w:val="22"/>
        </w:rPr>
        <w:t xml:space="preserve">Annual independent model audit: a qualified external evaluator reviews the model's performance, fairness across demographic groups, and compliance with NIMR ethics approval scope.</w:t>
      </w:r>
    </w:p>
    <w:p>
      <w:r>
        <w:br w:type="page"/>
      </w:r>
    </w:p>
    <w:p>
      <w:pPr>
        <w:pStyle w:val="Heading1"/>
        <w:spacing w:before="320" w:after="160"/>
      </w:pPr>
      <w:r>
        <w:rPr>
          <w:rFonts w:ascii="Arial" w:cs="Arial" w:eastAsia="Arial" w:hAnsi="Arial"/>
          <w:b/>
          <w:bCs/>
          <w:color w:val="1B4F72"/>
          <w:sz w:val="40"/>
          <w:szCs w:val="40"/>
        </w:rPr>
        <w:t xml:space="preserve">9. Implementation Roadmap — Phased and Structured</w:t>
      </w:r>
    </w:p>
    <w:p>
      <w:pPr>
        <w:spacing w:before="80" w:after="80"/>
      </w:pPr>
      <w:r>
        <w:rPr>
          <w:rFonts w:ascii="Arial" w:cs="Arial" w:eastAsia="Arial" w:hAnsi="Arial"/>
          <w:b w:val="false"/>
          <w:bCs w:val="false"/>
          <w:color w:val="1C1C1C"/>
          <w:sz w:val="22"/>
          <w:szCs w:val="22"/>
        </w:rPr>
        <w:t xml:space="preserve">The roadmap below sequences work into four phases, each building on the verified outputs of the previous. No phase skips to the next without meeting its success criteria. This is the architecture of a platform that can survive a pitch to MoH, a review by a health systems technologist, and a deployment into a real district hospital.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c>
          <w:tcPr>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Phase</w:t>
            </w:r>
          </w:p>
        </w:tc>
        <w:tc>
          <w:tcPr>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Name</w:t>
            </w:r>
          </w:p>
        </w:tc>
        <w:tc>
          <w:tcPr>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Deliverable</w:t>
            </w:r>
          </w:p>
        </w:tc>
        <w:tc>
          <w:tcPr>
            <w:gridSpan w:val="1"/>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Success Criteria</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20"/>
                <w:szCs w:val="20"/>
              </w:rPr>
              <w:t xml:space="preserve">Phase 0</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20"/>
                <w:szCs w:val="20"/>
              </w:rPr>
              <w:t xml:space="preserve">Demo Validation</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Tanzania-calibrated synthetic data generator; DHIS2 demo connector functional; Facility hierarchy model complete; RBAC fully enforced; Audit trail live; PII encryption implemented</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AUC &gt; 0.72 on synthetic holdout; All 14 roles provisioned and tested; DHIS2 org unit sync functional; Zero plain-text PII in database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20"/>
                <w:szCs w:val="20"/>
              </w:rPr>
              <w:t xml:space="preserve">Phase 1</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20"/>
                <w:szCs w:val="20"/>
              </w:rPr>
              <w:t xml:space="preserve">Real Data Pilot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NIMR ethics approval; Data Sharing Agreement with 2 pilot facilities; GoT-HoMIS FHIR connector deployed; Temporal holdout validation; Tanzania disease features in model; SMS notifications live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AUC &gt; 0.70 on real temporal holdout; Readmission rate calibrated to 10-14% baseline; End-to-end SMS alert delivered within 10 minutes of discharge</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20"/>
                <w:szCs w:val="20"/>
              </w:rPr>
              <w:t xml:space="preserve">Phase 2</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20"/>
                <w:szCs w:val="20"/>
              </w:rPr>
              <w:t xml:space="preserve">District Rollout</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5-10 district hospitals onboarded; DHIS2 production credentials; Afya eHMS connector deployed; Offline-first PWA; DHIO and CHMT dashboards live; Cross-facility readmission detection piloted</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&gt; 500 readmission risk predictions/month; DHIO dashboards in active use; First MoH review of national readmission intelligence data</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20"/>
                <w:szCs w:val="20"/>
              </w:rPr>
              <w:t xml:space="preserve">Phase 3</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20"/>
                <w:szCs w:val="20"/>
              </w:rPr>
              <w:t xml:space="preserve">National Scale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All Tier 1-3 facilities onboarded; CTC2 integration (HIV features); MoH national dashboard; Disease-specific sub-models; Model audit complete; Integration with Tanzania Digital Health Strategy 2025-2030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&gt; 50,000 predictions/month; National readmission burden report to MoH; Platform formally endorsed in Tanzania DHIS roadmap</w:t>
            </w:r>
          </w:p>
        </w:tc>
      </w:tr>
    </w:tbl>
    <w:p>
      <w:r>
        <w:br w:type="page"/>
      </w:r>
    </w:p>
    <w:p>
      <w:pPr>
        <w:pStyle w:val="Heading1"/>
        <w:spacing w:before="320" w:after="160"/>
      </w:pPr>
      <w:r>
        <w:rPr>
          <w:rFonts w:ascii="Arial" w:cs="Arial" w:eastAsia="Arial" w:hAnsi="Arial"/>
          <w:b/>
          <w:bCs/>
          <w:color w:val="1B4F72"/>
          <w:sz w:val="40"/>
          <w:szCs w:val="40"/>
        </w:rPr>
        <w:t xml:space="preserve">10. Independent vs. Interoperable — The Strategic Answer</w:t>
      </w:r>
    </w:p>
    <w:p>
      <w:pPr>
        <w:spacing w:before="80" w:after="80"/>
      </w:pPr>
      <w:r>
        <w:rPr>
          <w:rFonts w:ascii="Arial" w:cs="Arial" w:eastAsia="Arial" w:hAnsi="Arial"/>
          <w:b w:val="false"/>
          <w:bCs w:val="false"/>
          <w:color w:val="1C1C1C"/>
          <w:sz w:val="22"/>
          <w:szCs w:val="22"/>
        </w:rPr>
        <w:t xml:space="preserve">The question of whether TRIP should operate independently or interoperably with existing Tanzania systems has a definitive answer: it must be built interoperably, and it must be capable of functioning independently in the transitional period before full integration.</w:t>
      </w:r>
    </w:p>
    <w:p>
      <w:pPr>
        <w:spacing w:before="80" w:after="80"/>
      </w:pPr>
      <w:r>
        <w:rPr>
          <w:rFonts w:ascii="Arial" w:cs="Arial" w:eastAsia="Arial" w:hAnsi="Arial"/>
          <w:b w:val="false"/>
          <w:bCs w:val="false"/>
          <w:color w:val="1C1C1C"/>
          <w:sz w:val="22"/>
          <w:szCs w:val="22"/>
        </w:rPr>
        <w:t xml:space="preserve">The reasoning is grounded in both strategy and operational reality:</w:t>
      </w:r>
    </w:p>
    <w:p>
      <w:pPr>
        <w:pStyle w:val="Heading3"/>
        <w:spacing w:before="180" w:after="80"/>
      </w:pPr>
      <w:r>
        <w:rPr>
          <w:rFonts w:ascii="Arial" w:cs="Arial" w:eastAsia="Arial" w:hAnsi="Arial"/>
          <w:b/>
          <w:bCs/>
          <w:color w:val="1B4F72"/>
          <w:sz w:val="24"/>
          <w:szCs w:val="24"/>
        </w:rPr>
        <w:t xml:space="preserve">The case for interoperability</w:t>
      </w:r>
    </w:p>
    <w:p>
      <w:pPr>
        <w:pStyle w:val="ListParagraph"/>
        <w:numPr>
          <w:ilvl w:val="0"/>
          <w:numId w:val="2"/>
        </w:numPr>
        <w:spacing w:before="40" w:after="40"/>
      </w:pPr>
      <w:r>
        <w:rPr>
          <w:rFonts w:ascii="Arial" w:cs="Arial" w:eastAsia="Arial" w:hAnsi="Arial"/>
          <w:color w:val="1C1C1C"/>
          <w:sz w:val="22"/>
          <w:szCs w:val="22"/>
        </w:rPr>
        <w:t xml:space="preserve">Data that already exists in GoT-HoMIS or Afya eHMS should not be entered again. Duplicate data entry is the single largest driver of data quality failure in LMIC health systems, as documented in Rwanda, Kenya, and Tanzania alike.</w:t>
      </w:r>
    </w:p>
    <w:p>
      <w:pPr>
        <w:pStyle w:val="ListParagraph"/>
        <w:numPr>
          <w:ilvl w:val="0"/>
          <w:numId w:val="2"/>
        </w:numPr>
        <w:spacing w:before="40" w:after="40"/>
      </w:pPr>
      <w:r>
        <w:rPr>
          <w:rFonts w:ascii="Arial" w:cs="Arial" w:eastAsia="Arial" w:hAnsi="Arial"/>
          <w:color w:val="1C1C1C"/>
          <w:sz w:val="22"/>
          <w:szCs w:val="22"/>
        </w:rPr>
        <w:t xml:space="preserve">TRIP's intelligence outputs — readmission risk scores — need to appear inside existing clinical workflows, not in a separate application. The Epic ZSFG case is definitive: embedding predictions in the discharge workflow drove adoption. A standalone TRIP portal that clinicians must separately navigate to will be ignored.</w:t>
      </w:r>
    </w:p>
    <w:p>
      <w:pPr>
        <w:pStyle w:val="ListParagraph"/>
        <w:numPr>
          <w:ilvl w:val="0"/>
          <w:numId w:val="2"/>
        </w:numPr>
        <w:spacing w:before="40" w:after="40"/>
      </w:pPr>
      <w:r>
        <w:rPr>
          <w:rFonts w:ascii="Arial" w:cs="Arial" w:eastAsia="Arial" w:hAnsi="Arial"/>
          <w:color w:val="1C1C1C"/>
          <w:sz w:val="22"/>
          <w:szCs w:val="22"/>
        </w:rPr>
        <w:t xml:space="preserve">MoH's investment in DHIS2, GoT-HoMIS, and Afya eHMS represents years of institutional work. A platform that works with these systems will receive institutional support. A platform that competes with them will face institutional resistance.</w:t>
      </w:r>
    </w:p>
    <w:p>
      <w:pPr>
        <w:pStyle w:val="Heading3"/>
        <w:spacing w:before="180" w:after="80"/>
      </w:pPr>
      <w:r>
        <w:rPr>
          <w:rFonts w:ascii="Arial" w:cs="Arial" w:eastAsia="Arial" w:hAnsi="Arial"/>
          <w:b/>
          <w:bCs/>
          <w:color w:val="1B4F72"/>
          <w:sz w:val="24"/>
          <w:szCs w:val="24"/>
        </w:rPr>
        <w:t xml:space="preserve">The case for an independent capability</w:t>
      </w:r>
    </w:p>
    <w:p>
      <w:pPr>
        <w:pStyle w:val="ListParagraph"/>
        <w:numPr>
          <w:ilvl w:val="0"/>
          <w:numId w:val="2"/>
        </w:numPr>
        <w:spacing w:before="40" w:after="40"/>
      </w:pPr>
      <w:r>
        <w:rPr>
          <w:rFonts w:ascii="Arial" w:cs="Arial" w:eastAsia="Arial" w:hAnsi="Arial"/>
          <w:color w:val="1C1C1C"/>
          <w:sz w:val="22"/>
          <w:szCs w:val="22"/>
        </w:rPr>
        <w:t xml:space="preserve">In Phase 0 and Phase 1, real EMR integration is not available. TRIP must have a standalone data entry capability for facilities without EMRs — and this will be the reality for most of Tanzania's 7,000+ facilities for the foreseeable future.</w:t>
      </w:r>
    </w:p>
    <w:p>
      <w:pPr>
        <w:pStyle w:val="ListParagraph"/>
        <w:numPr>
          <w:ilvl w:val="0"/>
          <w:numId w:val="2"/>
        </w:numPr>
        <w:spacing w:before="40" w:after="40"/>
      </w:pPr>
      <w:r>
        <w:rPr>
          <w:rFonts w:ascii="Arial" w:cs="Arial" w:eastAsia="Arial" w:hAnsi="Arial"/>
          <w:color w:val="1C1C1C"/>
          <w:sz w:val="22"/>
          <w:szCs w:val="22"/>
        </w:rPr>
        <w:t xml:space="preserve">Offline operation: during connectivity outages, TRIP must continue to function using locally cached data and on-device inference. This is by definition independent operation.</w:t>
      </w:r>
    </w:p>
    <w:p>
      <w:pPr>
        <w:pStyle w:val="ListParagraph"/>
        <w:numPr>
          <w:ilvl w:val="0"/>
          <w:numId w:val="2"/>
        </w:numPr>
        <w:spacing w:before="40" w:after="40"/>
      </w:pPr>
      <w:r>
        <w:rPr>
          <w:rFonts w:ascii="Arial" w:cs="Arial" w:eastAsia="Arial" w:hAnsi="Arial"/>
          <w:color w:val="1C1C1C"/>
          <w:sz w:val="22"/>
          <w:szCs w:val="22"/>
        </w:rPr>
        <w:t xml:space="preserve">The intelligence layer itself — the ML models, the SHAP explanations, the risk stratification — is genuinely independent. It runs on TRIP's infrastructure, not on GoT-HoMIS or DHIS2 servers.</w:t>
      </w:r>
    </w:p>
    <w:p>
      <w:pPr>
        <w:shd w:fill="EAFAF1" w:val="clear"/>
        <w:spacing w:before="80" w:after="80"/>
        <w:ind w:left="360" w:right="360"/>
      </w:pPr>
      <w:r>
        <w:rPr>
          <w:rFonts w:ascii="Arial" w:cs="Arial" w:eastAsia="Arial" w:hAnsi="Arial"/>
          <w:color w:val="1B4F72"/>
          <w:sz w:val="20"/>
          <w:szCs w:val="20"/>
        </w:rPr>
        <w:t xml:space="preserve">Final answer: TRIP is architecturally independent (it runs on its own infrastructure, has its own database, its own ML compute) but strategically interoperable (it reads from and writes back to Tanzania's existing systems via standard APIs). The independence ensures resilience. The interoperability ensures adoption.</w:t>
      </w:r>
    </w:p>
    <w:p>
      <w:r>
        <w:br w:type="page"/>
      </w:r>
    </w:p>
    <w:p>
      <w:pPr>
        <w:pStyle w:val="Heading1"/>
        <w:spacing w:before="320" w:after="160"/>
      </w:pPr>
      <w:r>
        <w:rPr>
          <w:rFonts w:ascii="Arial" w:cs="Arial" w:eastAsia="Arial" w:hAnsi="Arial"/>
          <w:b/>
          <w:bCs/>
          <w:color w:val="1B4F72"/>
          <w:sz w:val="40"/>
          <w:szCs w:val="40"/>
        </w:rPr>
        <w:t xml:space="preserve">11. Future Expansion — Intelligence Beyond Readmissions</w:t>
      </w:r>
    </w:p>
    <w:p>
      <w:pPr>
        <w:spacing w:before="80" w:after="80"/>
      </w:pPr>
      <w:r>
        <w:rPr>
          <w:rFonts w:ascii="Arial" w:cs="Arial" w:eastAsia="Arial" w:hAnsi="Arial"/>
          <w:b w:val="false"/>
          <w:bCs w:val="false"/>
          <w:color w:val="1C1C1C"/>
          <w:sz w:val="22"/>
          <w:szCs w:val="22"/>
        </w:rPr>
        <w:t xml:space="preserve">TRIP's architecture is designed to be extended. The readmission intelligence layer is the first intelligence module, but the platform's data infrastructure, role hierarchy, interoperability connectors, and ML pipeline are all built to support expansion. The following modules are on the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gridSpan w:val="1"/>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Module</w:t>
            </w:r>
          </w:p>
        </w:tc>
        <w:tc>
          <w:tcPr>
            <w:gridSpan w:val="1"/>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Intelligence Capability</w:t>
            </w:r>
          </w:p>
        </w:tc>
        <w:tc>
          <w:tcPr>
            <w:gridSpan w:val="1"/>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B4F72"/>
                <w:sz w:val="20"/>
                <w:szCs w:val="20"/>
              </w:rPr>
              <w:t xml:space="preserve">Earliest Deployment Phase</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Sepsis Early Warning</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Predict sepsis onset 4-6 hours before clinical deterioration using vital sign trends and lab values</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Phase 2 — requires real-time vital sign streaming from Afya eHMS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Malaria Severity Stratification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Distinguish uncomplicated from severe malaria at triage using clinical features; guide referral decision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Phase 1 — can train on existing GoT-HoMIS malaria diagnosis data</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Maternal Risk Intelligence</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Predict risk of PPH, eclampsia, and maternal near-miss in antenatal care context</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Phase 2 — requires integration with maternal health tracker in DHIS2</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Drug Supply Intelligence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Predict facility-level drug stockout risk using consumption trends and logistics data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Phase 2 — requires eLMIS integration</w:t>
            </w:r>
          </w:p>
        </w:tc>
      </w:tr>
      <w:tr>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Workforce Intelligence</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Predict periods of critical staff shortfall by facility using leave records and historical staffing data</w:t>
            </w:r>
          </w:p>
        </w:tc>
        <w:tc>
          <w:tcPr>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Phase 3 — requires iHRIS integration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bCs/>
                <w:i w:val="false"/>
                <w:iCs w:val="false"/>
                <w:color w:val="1C1C1C"/>
                <w:sz w:val="19"/>
                <w:szCs w:val="19"/>
              </w:rPr>
              <w:t xml:space="preserve">NCD Progression Risk</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Predict hypertension and diabetes complication risk using chronic disease follow-up data</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b w:val="false"/>
                <w:bCs w:val="false"/>
                <w:i w:val="false"/>
                <w:iCs w:val="false"/>
                <w:color w:val="1C1C1C"/>
                <w:sz w:val="19"/>
                <w:szCs w:val="19"/>
              </w:rPr>
              <w:t xml:space="preserve">Phase 3 — requires NCD programme tracker in DHIS2</w:t>
            </w:r>
          </w:p>
        </w:tc>
      </w:tr>
    </w:tbl>
    <w:p>
      <w:r>
        <w:br w:type="page"/>
      </w:r>
    </w:p>
    <w:p>
      <w:pPr>
        <w:pStyle w:val="Heading1"/>
        <w:spacing w:before="320" w:after="160"/>
      </w:pPr>
      <w:r>
        <w:rPr>
          <w:rFonts w:ascii="Arial" w:cs="Arial" w:eastAsia="Arial" w:hAnsi="Arial"/>
          <w:b/>
          <w:bCs/>
          <w:color w:val="1B4F72"/>
          <w:sz w:val="40"/>
          <w:szCs w:val="40"/>
        </w:rPr>
        <w:t xml:space="preserve">12. Critical Prerequisites Before Any Official Pitch</w:t>
      </w:r>
    </w:p>
    <w:p>
      <w:pPr>
        <w:spacing w:before="80" w:after="80"/>
      </w:pPr>
      <w:r>
        <w:rPr>
          <w:rFonts w:ascii="Arial" w:cs="Arial" w:eastAsia="Arial" w:hAnsi="Arial"/>
          <w:b w:val="false"/>
          <w:bCs w:val="false"/>
          <w:color w:val="1C1C1C"/>
          <w:sz w:val="22"/>
          <w:szCs w:val="22"/>
        </w:rPr>
        <w:t xml:space="preserve">Before presenting TRIP to MoH officials, district health authorities, or any institutional partner, the following must be true and demonstrable — not described, not promised, not mocked up:</w:t>
      </w:r>
    </w:p>
    <w:p>
      <w:pPr>
        <w:pStyle w:val="ListParagraph"/>
        <w:numPr>
          <w:ilvl w:val="0"/>
          <w:numId w:val="3"/>
        </w:numPr>
        <w:spacing w:before="40" w:after="40"/>
      </w:pPr>
      <w:r>
        <w:rPr>
          <w:rFonts w:ascii="Arial" w:cs="Arial" w:eastAsia="Arial" w:hAnsi="Arial"/>
          <w:color w:val="1C1C1C"/>
          <w:sz w:val="22"/>
          <w:szCs w:val="22"/>
        </w:rPr>
        <w:t xml:space="preserve">PII encryption is fully implemented. No plain-text patient data exists anywhere in the system. This is a legal requirement and a basic condition of trust.</w:t>
      </w:r>
    </w:p>
    <w:p>
      <w:pPr>
        <w:pStyle w:val="ListParagraph"/>
        <w:numPr>
          <w:ilvl w:val="0"/>
          <w:numId w:val="3"/>
        </w:numPr>
        <w:spacing w:before="40" w:after="40"/>
      </w:pPr>
      <w:r>
        <w:rPr>
          <w:rFonts w:ascii="Arial" w:cs="Arial" w:eastAsia="Arial" w:hAnsi="Arial"/>
          <w:color w:val="1C1C1C"/>
          <w:sz w:val="22"/>
          <w:szCs w:val="22"/>
        </w:rPr>
        <w:t xml:space="preserve">Tanzania-calibrated synthetic data is deployed. The system runs on data that looks and behaves like real Tanzania health system data — right disease distribution, right readmission rate, right ICD-10 code set.</w:t>
      </w:r>
    </w:p>
    <w:p>
      <w:pPr>
        <w:pStyle w:val="ListParagraph"/>
        <w:numPr>
          <w:ilvl w:val="0"/>
          <w:numId w:val="3"/>
        </w:numPr>
        <w:spacing w:before="40" w:after="40"/>
      </w:pPr>
      <w:r>
        <w:rPr>
          <w:rFonts w:ascii="Arial" w:cs="Arial" w:eastAsia="Arial" w:hAnsi="Arial"/>
          <w:color w:val="1C1C1C"/>
          <w:sz w:val="22"/>
          <w:szCs w:val="22"/>
        </w:rPr>
        <w:t xml:space="preserve">The DHIS2 demo connector works end-to-end. The facility hierarchy displayed in TRIP should be Tanzania's actual hierarchy, pulled from DHIS2. This is achievable today with the demo instance.</w:t>
      </w:r>
    </w:p>
    <w:p>
      <w:pPr>
        <w:pStyle w:val="ListParagraph"/>
        <w:numPr>
          <w:ilvl w:val="0"/>
          <w:numId w:val="3"/>
        </w:numPr>
        <w:spacing w:before="40" w:after="40"/>
      </w:pPr>
      <w:r>
        <w:rPr>
          <w:rFonts w:ascii="Arial" w:cs="Arial" w:eastAsia="Arial" w:hAnsi="Arial"/>
          <w:color w:val="1C1C1C"/>
          <w:sz w:val="22"/>
          <w:szCs w:val="22"/>
        </w:rPr>
        <w:t xml:space="preserve">All 14 roles are provisioned and tested. A reviewer should be able to log in as a DHIO and see only their district's aggregated data; log in as a CLINICIAN and see only their facility's patients.</w:t>
      </w:r>
    </w:p>
    <w:p>
      <w:pPr>
        <w:pStyle w:val="ListParagraph"/>
        <w:numPr>
          <w:ilvl w:val="0"/>
          <w:numId w:val="3"/>
        </w:numPr>
        <w:spacing w:before="40" w:after="40"/>
      </w:pPr>
      <w:r>
        <w:rPr>
          <w:rFonts w:ascii="Arial" w:cs="Arial" w:eastAsia="Arial" w:hAnsi="Arial"/>
          <w:color w:val="1C1C1C"/>
          <w:sz w:val="22"/>
          <w:szCs w:val="22"/>
        </w:rPr>
        <w:t xml:space="preserve">The audit trail captures every action. A reviewer should be able to see a complete, tamper-evident log of every user action in the system.</w:t>
      </w:r>
    </w:p>
    <w:p>
      <w:pPr>
        <w:pStyle w:val="ListParagraph"/>
        <w:numPr>
          <w:ilvl w:val="0"/>
          <w:numId w:val="3"/>
        </w:numPr>
        <w:spacing w:before="40" w:after="40"/>
      </w:pPr>
      <w:r>
        <w:rPr>
          <w:rFonts w:ascii="Arial" w:cs="Arial" w:eastAsia="Arial" w:hAnsi="Arial"/>
          <w:color w:val="1C1C1C"/>
          <w:sz w:val="22"/>
          <w:szCs w:val="22"/>
        </w:rPr>
        <w:t xml:space="preserve">The NIMR ethics application is in preparation. The platform cannot pitch as a national health system without an ethics pathway already in motion.</w:t>
      </w:r>
    </w:p>
    <w:p>
      <w:pPr>
        <w:shd w:fill="FEF9E7" w:val="clear"/>
        <w:spacing w:before="80" w:after="80"/>
        <w:ind w:left="360" w:right="360"/>
      </w:pPr>
      <w:r>
        <w:rPr>
          <w:rFonts w:ascii="Arial" w:cs="Arial" w:eastAsia="Arial" w:hAnsi="Arial"/>
          <w:color w:val="1B4F72"/>
          <w:sz w:val="20"/>
          <w:szCs w:val="20"/>
        </w:rPr>
        <w:t xml:space="preserve">A platform that demonstrates these six properties — even on demo data — is a credible system. A platform that presents beautiful dashboards without these foundations is a prototype. MoH evaluators and health systems technologists will know the difference immediately.</w:t>
      </w:r>
    </w:p>
    <w:p>
      <w:r>
        <w:br w:type="page"/>
      </w:r>
    </w:p>
    <w:p>
      <w:pPr>
        <w:pStyle w:val="Heading1"/>
        <w:spacing w:before="320" w:after="160"/>
      </w:pPr>
      <w:r>
        <w:rPr>
          <w:rFonts w:ascii="Arial" w:cs="Arial" w:eastAsia="Arial" w:hAnsi="Arial"/>
          <w:b/>
          <w:bCs/>
          <w:color w:val="1B4F72"/>
          <w:sz w:val="40"/>
          <w:szCs w:val="40"/>
        </w:rPr>
        <w:t xml:space="preserve">13. Glossary of Terms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AUC-ROC</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Area Under the Receiver Operating Characteristic Curve — primary model performance metric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CTC2</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Care and Treatment Clinic 2 — Tanzania's HIV/ART patient tracking database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CHMT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Council Health Management Team — district-level health management authority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DHIO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District Health Information Officer — responsible for health data at LGA 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DHIS2</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District Health Information System version 2 — Tanzania's national HMIS backbone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EMR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Electronic Medical Record — facility-level patient record 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FHIR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Fast Healthcare Interoperability Resources — HL7 standard for health data exchange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GoT-HoMIS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Government of Tanzania Hospital Management Information System — primary PHC EMR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HFR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Health Facility Registry — MoH's master list of registered health facilities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HIE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Health Information Exchange — middleware enabling data sharing between health systems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HRO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Health Records Officer — responsible for patient data entry and management at facilities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HRRP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Hospital Readmissions Reduction Program — US CMS programme analogous to TRIP's mission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iHRIS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Human Resources Information System used by TAMISEMI for workforce management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LGA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Local Government Authority — district-level administrative unit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ML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Machine Learning — computational methods for predictive modelling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MoHCDGEC</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Ministry of Health, Community Development, Gender, Elderly and Children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NACP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National AIDS Control Programme — manages CTC2 and HIV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NHIF</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National Health Insurance Fund — primary public health insurance in Tanzania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NIMR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National Institute for Medical Research — Tanzania's research ethics authority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OpenHIE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Open Health Information Exchange — international framework for national health interoperability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PORALG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President's Office Regional Administration and Local Government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RBAC</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Role-Based Access Control — access management tied to assigned roles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RRH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Regional Referral Hospital — Tier 3 hospital serving a region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RHIM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Regional Health Information Manager — regional counterpart to DHIO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RHMT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Regional Health Management Team — regional-level health management authority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SAM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Severe Acute Malnutrition — leading paediatric readmission predictor in Tanzania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SHAP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SHapley Additive exPlanations — ML explainability method used in TRIP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TFADMIN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TRIP Facility Administrator — facility-level TRIP platform manager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TRIP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Tanzania Readmission Intelligence Platform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bCs/>
                <w:color w:val="1B4F72"/>
                <w:sz w:val="20"/>
                <w:szCs w:val="20"/>
              </w:rPr>
              <w:t xml:space="preserve">UPI</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color w:val="1C1C1C"/>
                <w:sz w:val="20"/>
                <w:szCs w:val="20"/>
              </w:rPr>
              <w:t xml:space="preserve">Unique Patient Identifier — Tanzania's planned national patient identification scheme</w:t>
            </w:r>
          </w:p>
        </w:tc>
      </w:tr>
    </w:tbl>
    <w:p>
      <w:pPr>
        <w:spacing w:before="400" w:after="0"/>
        <w:jc w:val="center"/>
      </w:pPr>
      <w:r>
        <w:rPr>
          <w:rFonts w:ascii="Arial" w:cs="Arial" w:eastAsia="Arial" w:hAnsi="Arial"/>
          <w:color w:val="888888"/>
          <w:sz w:val="20"/>
          <w:szCs w:val="20"/>
        </w:rPr>
        <w:t xml:space="preserve">— End of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1"/>
      </w:pBdr>
      <w:tabs>
        <w:tab w:val="right" w:pos="9360"/>
      </w:tabs>
      <w:spacing w:before="80" w:after="0"/>
    </w:pPr>
    <w:r>
      <w:rPr>
        <w:rFonts w:ascii="Arial" w:cs="Arial" w:eastAsia="Arial" w:hAnsi="Arial"/>
        <w:color w:val="888888"/>
        <w:sz w:val="16"/>
        <w:szCs w:val="16"/>
      </w:rPr>
      <w:t xml:space="preserve">© 2026 Tanzania MoH Digital Health Initiative — Confidential</w:t>
    </w:r>
    <w:r>
      <w:rPr>
        <w:rFonts w:ascii="Arial" w:cs="Arial" w:eastAsia="Arial" w:hAnsi="Arial"/>
        <w:color w:val="888888"/>
        <w:sz w:val="16"/>
        <w:szCs w:val="16"/>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spacing w:before="0" w:after="100"/>
    </w:pPr>
    <w:r>
      <w:rPr>
        <w:rFonts w:ascii="Arial" w:cs="Arial" w:eastAsia="Arial" w:hAnsi="Arial"/>
        <w:b/>
        <w:bCs/>
        <w:color w:val="1B4F72"/>
        <w:sz w:val="18"/>
        <w:szCs w:val="18"/>
      </w:rPr>
      <w:t xml:space="preserve">TRIP — Tanzania Readmission Intelligence Platform</w:t>
    </w:r>
    <w:r>
      <w:rPr>
        <w:rFonts w:ascii="Arial" w:cs="Arial" w:eastAsia="Arial" w:hAnsi="Arial"/>
        <w:color w:val="888888"/>
        <w:sz w:val="18"/>
        <w:szCs w:val="18"/>
      </w:rPr>
      <w:t xml:space="preserve">     |     Strategic Architecture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F72"/>
      <w:sz w:val="40"/>
      <w:szCs w:val="40"/>
    </w:rPr>
  </w:style>
  <w:style w:type="paragraph" w:styleId="Heading2">
    <w:name w:val="Heading 2"/>
    <w:basedOn w:val="Normal"/>
    <w:next w:val="Normal"/>
    <w:qFormat/>
    <w:pPr>
      <w:spacing w:before="240" w:after="100"/>
      <w:outlineLvl w:val="1"/>
    </w:pPr>
    <w:rPr>
      <w:rFonts w:ascii="Arial" w:cs="Arial" w:eastAsia="Arial" w:hAnsi="Arial"/>
      <w:b/>
      <w:bCs/>
      <w:color w:val="1A7A50"/>
      <w:sz w:val="30"/>
      <w:szCs w:val="30"/>
    </w:rPr>
  </w:style>
  <w:style w:type="paragraph" w:styleId="Heading3">
    <w:name w:val="Heading 3"/>
    <w:basedOn w:val="Normal"/>
    <w:next w:val="Normal"/>
    <w:qFormat/>
    <w:pPr>
      <w:spacing w:before="180" w:after="8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2026-03-28T13:14:26.425Z</dcterms:created>
  <dcterms:modified xsi:type="dcterms:W3CDTF">2026-03-28T13:14:26.425Z</dcterms:modified>
</cp:coreProperties>
</file>

<file path=docProps/custom.xml><?xml version="1.0" encoding="utf-8"?>
<Properties xmlns="http://schemas.openxmlformats.org/officeDocument/2006/custom-properties" xmlns:vt="http://schemas.openxmlformats.org/officeDocument/2006/docPropsVTypes"/>
</file>