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EXCELENTÍSSIMO SENHOR DOUTOR JUIZ DE DIREITO DA 1ª VARA CÍVEL DA COMARCA DE SÃO PAULO - SP</w:t>
      </w:r>
    </w:p>
    <w:p>
      <w:pPr>
        <w:pStyle w:val="BodyText"/>
      </w:pPr>
      <w:r>
        <w:t xml:space="preserve">Processo nº 1234567-89.2024.8.26.0100</w:t>
      </w:r>
    </w:p>
    <w:p>
      <w:pPr>
        <w:pStyle w:val="BodyText"/>
      </w:pPr>
      <w:r>
        <w:t xml:space="preserve">JOÃO DA SILVA, já qualificado nos autos da AÇÃO DE INDENIZAÇÃO POR DANOS MATERIAIS E MORAIS que move em face de CONSTRUTORA XYZ LTDA., vem, respeitosamente, à presença de Vossa Excelência, apresentar</w:t>
      </w:r>
    </w:p>
    <w:p>
      <w:pPr>
        <w:pStyle w:val="BodyText"/>
      </w:pPr>
      <w:r>
        <w:t xml:space="preserve">RÉPLICA À CONTESTAÇÃO</w:t>
      </w:r>
    </w:p>
    <w:p>
      <w:pPr>
        <w:pStyle w:val="BodyText"/>
      </w:pPr>
      <w:r>
        <w:t xml:space="preserve">pelos fatos e fundamentos a seguir expostos.</w:t>
      </w:r>
    </w:p>
    <w:p>
      <w:pPr>
        <w:pStyle w:val="BodyText"/>
      </w:pPr>
      <w:r>
        <w:t xml:space="preserve">I. DA SÍNTESE DA CONTESTAÇÃO</w:t>
      </w:r>
    </w:p>
    <w:p>
      <w:pPr>
        <w:pStyle w:val="BodyText"/>
      </w:pPr>
      <w:r>
        <w:t xml:space="preserve">A Requerida alega, em síntese, que o atraso na entrega do imóvel decorreu de caso fortuito e força maior, especificamente chuvas excessivas e escassez de mão de obra. Sustenta, ainda, a validade da cláusula de tolerância de 180 dias e a inexistência de danos morais indenizáveis.</w:t>
      </w:r>
    </w:p>
    <w:p>
      <w:pPr>
        <w:pStyle w:val="BodyText"/>
      </w:pPr>
      <w:r>
        <w:t xml:space="preserve">Contudo, tais argumentos não merecem prosperar, conforme será demonstrado.</w:t>
      </w:r>
    </w:p>
    <w:p>
      <w:pPr>
        <w:pStyle w:val="Compact"/>
        <w:numPr>
          <w:ilvl w:val="0"/>
          <w:numId w:val="1001"/>
        </w:numPr>
      </w:pPr>
      <w:r>
        <w:t xml:space="preserve">DO MÉRITO</w:t>
      </w:r>
    </w:p>
    <w:p>
      <w:pPr>
        <w:pStyle w:val="Compact"/>
        <w:numPr>
          <w:ilvl w:val="0"/>
          <w:numId w:val="1002"/>
        </w:numPr>
      </w:pPr>
      <w:r>
        <w:t xml:space="preserve">DA INEXISTÊNCIA DE CASO FORTUITO OU FORÇA MAIOR</w:t>
      </w:r>
    </w:p>
    <w:p>
      <w:pPr>
        <w:pStyle w:val="FirstParagraph"/>
      </w:pPr>
      <w:r>
        <w:t xml:space="preserve">A alegação de chuvas excessivas e falta de mão de obra configura fortuito interno, inerente ao risco da atividade empresarial, não sendo apta a excluir a responsabilidade da construtora. Conforme entendimento consolidado na Súmula 161 do TJSP:</w:t>
      </w:r>
    </w:p>
    <w:p>
      <w:pPr>
        <w:pStyle w:val="BodyText"/>
      </w:pPr>
      <w:r>
        <w:t xml:space="preserve">“Não constitui hipótese de caso fortuito ou de força maior, a ocorrência de chuvas em excesso, falta de mão de obra, aquecimento do mercado, embargo do empreendimento ou, ainda, entraves administrativos. Essas justificativas encerram</w:t>
      </w:r>
      <w:r>
        <w:t xml:space="preserve"> </w:t>
      </w:r>
      <w:r>
        <w:t xml:space="preserve">‘res inter alios acta’</w:t>
      </w:r>
      <w:r>
        <w:t xml:space="preserve"> </w:t>
      </w:r>
      <w:r>
        <w:t xml:space="preserve">em relação ao compromissário adquirente.”</w:t>
      </w:r>
    </w:p>
    <w:p>
      <w:pPr>
        <w:pStyle w:val="BodyText"/>
      </w:pPr>
      <w:r>
        <w:t xml:space="preserve">Portanto, a Requerida deve responder pelos prejuízos causados pelo atraso.</w:t>
      </w:r>
    </w:p>
    <w:p>
      <w:pPr>
        <w:pStyle w:val="Compact"/>
        <w:numPr>
          <w:ilvl w:val="0"/>
          <w:numId w:val="1003"/>
        </w:numPr>
      </w:pPr>
      <w:r>
        <w:t xml:space="preserve">DOS LUCROS CESSANTES</w:t>
      </w:r>
    </w:p>
    <w:p>
      <w:pPr>
        <w:pStyle w:val="FirstParagraph"/>
      </w:pPr>
      <w:r>
        <w:t xml:space="preserve">É pacífico o entendimento de que o atraso na entrega do imóvel gera presunção de prejuízo ao adquirente, independentemente da finalidade do negócio (moradia ou locação). Nesse sentido, a Súmula 162 do TJSP:</w:t>
      </w:r>
    </w:p>
    <w:p>
      <w:pPr>
        <w:pStyle w:val="BodyText"/>
      </w:pPr>
      <w:r>
        <w:t xml:space="preserve">“Descumprido o prazo para a entrega do imóvel objeto do compromisso de venda e compra, é cabível a condenação da vendedora por lucros cessantes, havendo a presunção de prejuízo do adquirente, independentemente da finalidade do negócio.”</w:t>
      </w:r>
    </w:p>
    <w:p>
      <w:pPr>
        <w:pStyle w:val="BodyText"/>
      </w:pPr>
      <w:r>
        <w:t xml:space="preserve">O valor da indenização deve corresponder a 0,5% do valor atualizado do contrato por mês de atraso, conforme jurisprudência dominante.</w:t>
      </w:r>
    </w:p>
    <w:p>
      <w:pPr>
        <w:pStyle w:val="Compact"/>
        <w:numPr>
          <w:ilvl w:val="0"/>
          <w:numId w:val="1004"/>
        </w:numPr>
      </w:pPr>
      <w:r>
        <w:t xml:space="preserve">DOS PEDIDOS</w:t>
      </w:r>
    </w:p>
    <w:p>
      <w:pPr>
        <w:pStyle w:val="FirstParagraph"/>
      </w:pPr>
      <w:r>
        <w:t xml:space="preserve">Diante do exposto, reitera-se os termos da inicial, requerendo a procedência total da ação para:</w:t>
      </w:r>
      <w:r>
        <w:t xml:space="preserve"> </w:t>
      </w:r>
      <w:r>
        <w:t xml:space="preserve">a) Condenar a Requerida ao pagamento de lucros cessantes;</w:t>
      </w:r>
      <w:r>
        <w:t xml:space="preserve"> </w:t>
      </w:r>
      <w:r>
        <w:t xml:space="preserve">b) Condenar a Requerida ao pagamento de indenização por danos morais;</w:t>
      </w:r>
      <w:r>
        <w:t xml:space="preserve"> </w:t>
      </w:r>
      <w:r>
        <w:t xml:space="preserve">c) Condenar a Requerida aos ônus sucumbenciais.</w:t>
      </w:r>
    </w:p>
    <w:p>
      <w:pPr>
        <w:pStyle w:val="BodyText"/>
      </w:pPr>
      <w:r>
        <w:t xml:space="preserve">Termos em que,</w:t>
      </w:r>
      <w:r>
        <w:t xml:space="preserve"> </w:t>
      </w:r>
      <w:r>
        <w:t xml:space="preserve">Pede deferimento.</w:t>
      </w:r>
    </w:p>
    <w:p>
      <w:pPr>
        <w:pStyle w:val="BodyText"/>
      </w:pPr>
      <w:r>
        <w:t xml:space="preserve">São Paulo, 27 de novembro de 2024.</w:t>
      </w:r>
    </w:p>
    <w:p>
      <w:pPr>
        <w:pStyle w:val="BodyText"/>
      </w:pPr>
      <w:r>
        <w:t xml:space="preserve">ADVOGADO</w:t>
      </w:r>
      <w:r>
        <w:t xml:space="preserve"> </w:t>
      </w:r>
      <w:r>
        <w:t xml:space="preserve">OAB/SP 000.000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612">
    <w:nsid w:val="00A99612"/>
    <w:multiLevelType w:val="multilevel"/>
    <w:lvl w:ilvl="0">
      <w:start w:val="2"/>
      <w:numFmt w:val="upperRoman"/>
      <w:lvlText w:val="%1."/>
      <w:lvlJc w:val="left"/>
      <w:pPr>
        <w:ind w:left="720" w:hanging="360"/>
      </w:pPr>
    </w:lvl>
    <w:lvl w:ilvl="1">
      <w:start w:val="2"/>
      <w:numFmt w:val="upperRoman"/>
      <w:lvlText w:val="%2."/>
      <w:lvlJc w:val="left"/>
      <w:pPr>
        <w:ind w:left="1440" w:hanging="360"/>
      </w:pPr>
    </w:lvl>
    <w:lvl w:ilvl="2">
      <w:start w:val="2"/>
      <w:numFmt w:val="upperRoman"/>
      <w:lvlText w:val="%3."/>
      <w:lvlJc w:val="left"/>
      <w:pPr>
        <w:ind w:left="2160" w:hanging="360"/>
      </w:pPr>
    </w:lvl>
    <w:lvl w:ilvl="3">
      <w:start w:val="2"/>
      <w:numFmt w:val="upperRoman"/>
      <w:lvlText w:val="%4."/>
      <w:lvlJc w:val="left"/>
      <w:pPr>
        <w:ind w:left="2880" w:hanging="360"/>
      </w:pPr>
    </w:lvl>
    <w:lvl w:ilvl="4">
      <w:start w:val="2"/>
      <w:numFmt w:val="upperRoman"/>
      <w:lvlText w:val="%5."/>
      <w:lvlJc w:val="left"/>
      <w:pPr>
        <w:ind w:left="3600" w:hanging="360"/>
      </w:pPr>
    </w:lvl>
    <w:lvl w:ilvl="5">
      <w:start w:val="2"/>
      <w:numFmt w:val="upperRoman"/>
      <w:lvlText w:val="%6."/>
      <w:lvlJc w:val="left"/>
      <w:pPr>
        <w:ind w:left="4320" w:hanging="360"/>
      </w:pPr>
    </w:lvl>
    <w:lvl w:ilvl="6">
      <w:start w:val="2"/>
      <w:numFmt w:val="upperRoman"/>
      <w:lvlText w:val="%7."/>
      <w:lvlJc w:val="left"/>
      <w:pPr>
        <w:ind w:left="5040" w:hanging="360"/>
      </w:pPr>
    </w:lvl>
    <w:lvl w:ilvl="7">
      <w:start w:val="2"/>
      <w:numFmt w:val="upperRoman"/>
      <w:lvlText w:val="%8."/>
      <w:lvlJc w:val="left"/>
      <w:pPr>
        <w:ind w:left="5760" w:hanging="360"/>
      </w:pPr>
    </w:lvl>
    <w:lvl w:ilvl="8">
      <w:start w:val="2"/>
      <w:numFmt w:val="upperRoman"/>
      <w:lvlText w:val="%9.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613">
    <w:nsid w:val="00A99613"/>
    <w:multiLevelType w:val="multilevel"/>
    <w:lvl w:ilvl="0">
      <w:start w:val="3"/>
      <w:numFmt w:val="upperRoman"/>
      <w:lvlText w:val="%1."/>
      <w:lvlJc w:val="left"/>
      <w:pPr>
        <w:ind w:left="720" w:hanging="360"/>
      </w:pPr>
    </w:lvl>
    <w:lvl w:ilvl="1">
      <w:start w:val="3"/>
      <w:numFmt w:val="upperRoman"/>
      <w:lvlText w:val="%2."/>
      <w:lvlJc w:val="left"/>
      <w:pPr>
        <w:ind w:left="1440" w:hanging="360"/>
      </w:pPr>
    </w:lvl>
    <w:lvl w:ilvl="2">
      <w:start w:val="3"/>
      <w:numFmt w:val="upperRoman"/>
      <w:lvlText w:val="%3."/>
      <w:lvlJc w:val="left"/>
      <w:pPr>
        <w:ind w:left="2160" w:hanging="360"/>
      </w:pPr>
    </w:lvl>
    <w:lvl w:ilvl="3">
      <w:start w:val="3"/>
      <w:numFmt w:val="upperRoman"/>
      <w:lvlText w:val="%4."/>
      <w:lvlJc w:val="left"/>
      <w:pPr>
        <w:ind w:left="2880" w:hanging="360"/>
      </w:pPr>
    </w:lvl>
    <w:lvl w:ilvl="4">
      <w:start w:val="3"/>
      <w:numFmt w:val="upperRoman"/>
      <w:lvlText w:val="%5."/>
      <w:lvlJc w:val="left"/>
      <w:pPr>
        <w:ind w:left="3600" w:hanging="360"/>
      </w:pPr>
    </w:lvl>
    <w:lvl w:ilvl="5">
      <w:start w:val="3"/>
      <w:numFmt w:val="upperRoman"/>
      <w:lvlText w:val="%6."/>
      <w:lvlJc w:val="left"/>
      <w:pPr>
        <w:ind w:left="4320" w:hanging="360"/>
      </w:pPr>
    </w:lvl>
    <w:lvl w:ilvl="6">
      <w:start w:val="3"/>
      <w:numFmt w:val="upperRoman"/>
      <w:lvlText w:val="%7."/>
      <w:lvlJc w:val="left"/>
      <w:pPr>
        <w:ind w:left="5040" w:hanging="360"/>
      </w:pPr>
    </w:lvl>
    <w:lvl w:ilvl="7">
      <w:start w:val="3"/>
      <w:numFmt w:val="upperRoman"/>
      <w:lvlText w:val="%8."/>
      <w:lvlJc w:val="left"/>
      <w:pPr>
        <w:ind w:left="5760" w:hanging="360"/>
      </w:pPr>
    </w:lvl>
    <w:lvl w:ilvl="8">
      <w:start w:val="3"/>
      <w:numFmt w:val="upp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6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6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2025-11-28T00:08:43Z</dcterms:created>
  <dcterms:modified xsi:type="dcterms:W3CDTF">2025-11-28T00:08:43Z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