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Borders>
          <w:top w:color="e36c0a" w:space="0" w:sz="4" w:val="single"/>
          <w:left w:color="e36c0a" w:space="0" w:sz="4" w:val="single"/>
          <w:bottom w:color="e36c0a" w:space="0" w:sz="4" w:val="single"/>
          <w:right w:color="e36c0a" w:space="0" w:sz="4" w:val="single"/>
          <w:insideH w:color="548dd4" w:space="0" w:sz="4" w:val="single"/>
          <w:insideV w:color="e36c0a" w:space="0" w:sz="4" w:val="single"/>
        </w:tblBorders>
        <w:tblLayout w:type="fixed"/>
        <w:tblLook w:val="0400"/>
      </w:tblPr>
      <w:tblGrid>
        <w:gridCol w:w="8921"/>
        <w:gridCol w:w="1139"/>
        <w:tblGridChange w:id="0">
          <w:tblGrid>
            <w:gridCol w:w="8921"/>
            <w:gridCol w:w="1139"/>
          </w:tblGrid>
        </w:tblGridChange>
      </w:tblGrid>
      <w:tr>
        <w:trPr>
          <w:trHeight w:val="1407" w:hRule="atLeast"/>
        </w:trPr>
        <w:tc>
          <w:tcPr>
            <w:gridSpan w:val="2"/>
            <w:tcBorders>
              <w:bottom w:color="538135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spacing w:before="0" w:line="360" w:lineRule="auto"/>
              <w:jc w:val="center"/>
              <w:rPr>
                <w:rFonts w:ascii="Trebuchet MS" w:cs="Trebuchet MS" w:eastAsia="Trebuchet MS" w:hAnsi="Trebuchet M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4"/>
                <w:szCs w:val="24"/>
                <w:rtl w:val="0"/>
              </w:rPr>
              <w:t xml:space="preserve">Curso Profissional técnico de Gestão e Programação de Sistemas Informáticos</w:t>
            </w:r>
          </w:p>
          <w:p w:rsidR="00000000" w:rsidDel="00000000" w:rsidP="00000000" w:rsidRDefault="00000000" w:rsidRPr="00000000" w14:paraId="00000003">
            <w:pPr>
              <w:spacing w:after="0" w:line="36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O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ffffff"/>
                <w:rtl w:val="0"/>
              </w:rPr>
              <w:t xml:space="preserve">ficina de Robótica e Automação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–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u w:val="single"/>
                <w:rtl w:val="0"/>
              </w:rPr>
              <w:t xml:space="preserve">Módulo 1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Ficha de Exercícios Práticos - EXTRA</w:t>
            </w:r>
          </w:p>
        </w:tc>
      </w:tr>
      <w:tr>
        <w:trPr>
          <w:trHeight w:val="399" w:hRule="atLeast"/>
        </w:trPr>
        <w:tc>
          <w:tcPr>
            <w:tcBorders>
              <w:top w:color="538135" w:space="0" w:sz="4" w:val="single"/>
              <w:bottom w:color="e36c0a" w:space="0" w:sz="4" w:val="single"/>
              <w:right w:color="e36c0a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1"/>
              <w:spacing w:before="0" w:lineRule="auto"/>
              <w:rPr>
                <w:rFonts w:ascii="Trebuchet MS" w:cs="Trebuchet MS" w:eastAsia="Trebuchet MS" w:hAnsi="Trebuchet MS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04040"/>
                <w:sz w:val="18"/>
                <w:szCs w:val="18"/>
                <w:rtl w:val="0"/>
              </w:rPr>
              <w:t xml:space="preserve">TURMA: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70c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38135" w:space="0" w:sz="4" w:val="single"/>
              <w:left w:color="e36c0a" w:space="0" w:sz="4" w:val="single"/>
              <w:bottom w:color="e36c0a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pStyle w:val="Heading1"/>
              <w:spacing w:before="0" w:lineRule="auto"/>
              <w:rPr>
                <w:rFonts w:ascii="Trebuchet MS" w:cs="Trebuchet MS" w:eastAsia="Trebuchet MS" w:hAnsi="Trebuchet MS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04040"/>
                <w:sz w:val="18"/>
                <w:szCs w:val="18"/>
                <w:rtl w:val="0"/>
              </w:rPr>
              <w:t xml:space="preserve">ANO: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70c0"/>
                <w:sz w:val="18"/>
                <w:szCs w:val="18"/>
                <w:rtl w:val="0"/>
              </w:rPr>
              <w:t xml:space="preserve">1º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e36c0a" w:space="0" w:sz="4" w:val="single"/>
              <w:bottom w:color="e36c0a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>
                <w:rFonts w:ascii="Trebuchet MS" w:cs="Trebuchet MS" w:eastAsia="Trebuchet MS" w:hAnsi="Trebuchet MS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04040"/>
                <w:sz w:val="18"/>
                <w:szCs w:val="18"/>
                <w:rtl w:val="0"/>
              </w:rPr>
              <w:t xml:space="preserve">PROFESSORES: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04040"/>
                <w:sz w:val="18"/>
                <w:szCs w:val="18"/>
                <w:rtl w:val="0"/>
              </w:rPr>
              <w:t xml:space="preserve">Artur Rebouta 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0404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04040"/>
                <w:sz w:val="18"/>
                <w:szCs w:val="18"/>
                <w:rtl w:val="0"/>
              </w:rPr>
              <w:t xml:space="preserve">Florbela Sebastião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1</w:t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6"/>
          <w:szCs w:val="36"/>
          <w:rtl w:val="0"/>
        </w:rPr>
        <w:t xml:space="preserve">Controlar velocidade de transição dos leds</w:t>
      </w:r>
    </w:p>
    <w:p w:rsidR="00000000" w:rsidDel="00000000" w:rsidP="00000000" w:rsidRDefault="00000000" w:rsidRPr="00000000" w14:paraId="0000000D">
      <w:pPr>
        <w:shd w:fill="ffffff" w:val="clear"/>
        <w:spacing w:after="280" w:line="240" w:lineRule="auto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Controlar, através do potenciómetro, a velocidade de transição dos leds. Exemplo: quando o led vermelho apagar e acender o verde, o tempo de espera desta transição é dado pelo valor do potenciómetro. Imagem sugestiva para o circuito.</w:t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Sugestão:  Deve criar o circuito igual à imagem apresentada (abaixo).</w:t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Para desenvolver o código, com as devidas adaptações, sugerimos a consulta: 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280" w:before="280" w:line="240" w:lineRule="auto"/>
        <w:ind w:left="1440" w:hanging="360"/>
        <w:rPr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Programação em Arduino Prática 2 - página 15, 16 e 19.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Esquema a montar 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</w:rPr>
        <w:drawing>
          <wp:inline distB="114300" distT="114300" distL="114300" distR="114300">
            <wp:extent cx="539973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Link 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https://www.tinkercad.com/things/3UwNwwBbDZm-fichadeexerciciospraticosextraexercicio1/editel?sharecode=InYdA1y0yaNW8Gq44GhU0vev7UmnygVXf9QLINNi0Kk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Code  ==============================================================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Dev by Gabriel.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28/02/2021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ledPin[] = {2, 4, 7, 8, 12};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potPin = A0;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value, i;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 = 0; i &lt; sizeof(ledPin); i++) 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pinMode(ledPin[i], OUTPUT);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pinMode(potPin, INPUT);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Serial.begin(9600);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value = analogRead(potPin);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Serial.println(value);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 = 0; i &lt; sizeof(ledPin); i++) 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digitalWrite(ledPin[i], HIGH);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digitalWrite(ledPin[i], LOW);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delay(value);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2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Criar uma solução (circuito e programação) de controle de luz (obrigatório utilizar os sensores PIR e luz) que acende a lâmpada se existir movimento ou pouca luz. </w:t>
      </w:r>
    </w:p>
    <w:p w:rsidR="00000000" w:rsidDel="00000000" w:rsidP="00000000" w:rsidRDefault="00000000" w:rsidRPr="00000000" w14:paraId="0000003C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Sugestão:  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Para desenvolver o código deve consultar Apresentação Sensores Básicos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hd w:fill="ffffff" w:val="clear"/>
        <w:spacing w:after="0" w:before="0" w:line="240" w:lineRule="auto"/>
        <w:ind w:left="2160" w:hanging="360"/>
        <w:rPr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Prática Sensor PIR 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hd w:fill="ffffff" w:val="clear"/>
        <w:spacing w:after="0" w:before="0" w:line="240" w:lineRule="auto"/>
        <w:ind w:left="2160" w:hanging="360"/>
        <w:rPr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Prática Relé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2125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Esquema do circuito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Esquema a montar 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Link 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18"/>
          <w:szCs w:val="18"/>
        </w:rPr>
      </w:pP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https://www.tinkercad.com/things/eJSbd88b2Q6-fichadeexerciciospraticosextraexercicio2/editel?sharecode=8c1V429xVon6K0tGc9IKtHuRRET26_cVkwi0lqhq2b4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Code  ==============================================================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 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Dev by Gabriel.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28/02/2021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pinPIR = 5;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pinRelay = 3;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pinAnalog = A0;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output[2];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setup(){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pinMode(pinRelay, OUTPUT);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pinMode(pinPIR, INPUT);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Serial.begin(3600);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loop(){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output[0] = </w:t>
      </w:r>
      <w:r w:rsidDel="00000000" w:rsidR="00000000" w:rsidRPr="00000000">
        <w:rPr>
          <w:sz w:val="18"/>
          <w:szCs w:val="18"/>
          <w:rtl w:val="0"/>
        </w:rPr>
        <w:t xml:space="preserve">digitalRead(pinPIR);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output[1] = </w:t>
      </w:r>
      <w:r w:rsidDel="00000000" w:rsidR="00000000" w:rsidRPr="00000000">
        <w:rPr>
          <w:sz w:val="18"/>
          <w:szCs w:val="18"/>
          <w:rtl w:val="0"/>
        </w:rPr>
        <w:t xml:space="preserve">analogRead(pinAnalog);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output[2] = digitalRead(pinRelay);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if(output[0] == HIGH || output[1] == HIGH){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digitalWrite(pinRelay, HIGH); // turn on relay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Serial.println("Relay Status = ON");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delay(4000);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else{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digitalWrite(pinRelay, LOW); // turn off relay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Serial.println("Relay Status = OFF");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delay(1000);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rebuchet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4863465</wp:posOffset>
          </wp:positionH>
          <wp:positionV relativeFrom="paragraph">
            <wp:posOffset>-185419</wp:posOffset>
          </wp:positionV>
          <wp:extent cx="1033145" cy="63055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145" cy="6305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-510539</wp:posOffset>
          </wp:positionH>
          <wp:positionV relativeFrom="paragraph">
            <wp:posOffset>-221614</wp:posOffset>
          </wp:positionV>
          <wp:extent cx="1512570" cy="658495"/>
          <wp:effectExtent b="0" l="0" r="0" t="0"/>
          <wp:wrapNone/>
          <wp:docPr descr="ooxWord://media/image.jpg" id="4" name="image2.jpg"/>
          <a:graphic>
            <a:graphicData uri="http://schemas.openxmlformats.org/drawingml/2006/picture">
              <pic:pic>
                <pic:nvPicPr>
                  <pic:cNvPr descr="ooxWord://media/image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2570" cy="658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64579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17025" y="3780000"/>
                        <a:ext cx="64579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6457950" cy="127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tinkercad.com/things/eJSbd88b2Q6-fichadeexerciciospraticosextraexercicio2/editel?sharecode=8c1V429xVon6K0tGc9IKtHuRRET26_cVkwi0lqhq2b4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tinkercad.com/things/3UwNwwBbDZm-fichadeexerciciospraticosextraexercicio1/editel?sharecode=InYdA1y0yaNW8Gq44GhU0vev7UmnygVXf9QLINNi0Kk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