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“Caso de Estudio"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4" w:lineRule="auto"/>
        <w:ind w:left="466" w:right="11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entrega el siguiente set de datos de una empresa del sector de telecomunicaciones,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TelcoCustomerChurn.csv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 cual es un dataset que cuenta con las principales características de una empresa del sector de telecomunicaciones respecto a sus campañas, facturación y vínculo con el cliente.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" w:lineRule="auto"/>
        <w:ind w:left="2682" w:right="2338" w:firstLine="0"/>
        <w:jc w:val="center"/>
        <w:rPr>
          <w:rFonts w:ascii="Trebuchet MS" w:cs="Trebuchet MS" w:eastAsia="Trebuchet MS" w:hAnsi="Trebuchet MS"/>
          <w:b w:val="1"/>
          <w:i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Esquema metodológico de la fuga de clientes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609713</wp:posOffset>
            </wp:positionH>
            <wp:positionV relativeFrom="paragraph">
              <wp:posOffset>209501</wp:posOffset>
            </wp:positionV>
            <wp:extent cx="5606810" cy="196024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6810" cy="1960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empresa en el último mes y debido a la coyuntura del COVID – 19 ha incrementado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300" w:lineRule="auto"/>
        <w:ind w:left="466" w:right="1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ratio de churn de clientes, pasando de 2% en promedio de los últimos 6 meses a 2.5% en los últimos 6 siguientes. Como sabemos el costo de adquisición de un nuevo cliente es aproximadamente 6 a 7 veces mayor que retener uno que ya tenemos.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66" w:right="1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puede la institución de telecomunicaciones tener una mayor efectividad para identificar a los clientes propensos a la fuga?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66" w:right="106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50" w:w="11910" w:orient="portrait"/>
          <w:pgMar w:bottom="280" w:top="1380" w:left="660" w:right="102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responder a esto, tenemos que analizar la información de toda la facturación y vínculo que tiene la institución o empresa con los clientes para identificar los patrones que nos ayudarán a encontrar conclusiones para desarrollar estrategias futuras. La empresa necesita saber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dimensionar y bajar el ratio de fuga futuro de los clientes.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105" w:line="240" w:lineRule="auto"/>
        <w:ind w:left="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Las variables que se disponibilizan son: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496050" cy="47713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771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466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Consignas: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300" w:lineRule="auto"/>
        <w:ind w:left="4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1.- Definir el problema de la naturaleza que se tiene a continuación, además de los objetivos de negocio bien definidos.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2.- ¿Qué tipo de variables se utilizan en el problema de negocio?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" w:lineRule="auto"/>
        <w:ind w:left="4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3.- ¿Cómo podríamos resolver este problema de negocio y cumplir con los objetivos planteados a través de la ciencia o analítica de datos?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10" w:orient="portrait"/>
      <w:pgMar w:bottom="280" w:top="1320" w:left="660" w:right="10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1" w:lineRule="auto"/>
      <w:ind w:left="2682" w:right="2326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