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80" w:firstLine="720"/>
        <w:jc w:val="left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6z08qkdjs5c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Modelagem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atividade possui somente fins didáticos na área de análise de dados, visando a prática e aprimoramento de habilidades daqueles que o fazem. O arquivo possui intuito de trabalhar na modelagem do problema, entendendo seus conceitos e as metodologias aplicadas em cada tópico abordado com o objetivo de replicar os resultados do autor do Artigo.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brvsnfxagsn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emissões de GEE associadas à produção de biomassa não são incluídas na análise.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Considerar as emissões do transporte e pré-tratamento de matéria-prima, construção da planta de pirólise e necessidades operacionais de energia, pós-tratamento e aplicação de biochar, e carregamento e transporte por caminhão de e para a planta de pirólise.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Supõe-se que todos os resíduos gerados no processamento de culturas alimentares estão disponíveis para conversão em biochar.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estudo não assume nenhum efeito da adição de biochar na taxa de mineralização do SOC.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Outras emissões de GEE associadas ao óxido nitroso e ao metano não estão incluídas na análise porque se espera que estes efeitos sejam pequenos em relação ao sequestro de carbono do biocarvão.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Fatores de permanência no solo fornecidos por Woolf; biochar usado em outras aplicações industriais de longo prazo seja protegido da decomposição, produzindo uma permanência igual ou maior do que o mesmo biochar adicionado ao solo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Biochar em pirólise de temperatura alta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fator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permanência ao longo de um período de 100 anos.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Biochar é o único produto do processo de pirólise, sistema autossuficiente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T alta, o rendimento médio de massa em base seca ( Y m ) para biochar feito a partir de todos os resíduos culturais considerados é assumido como sendo de 25%.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fator de permanência do biochar ( F perm ) é função apenas da temperatura do solo ( Ts 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base nessas suposições, Woolf et al. O modelo pode ser generalizado da seguinte forma: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5152073" cy="81348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073" cy="81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47699</wp:posOffset>
            </wp:positionV>
            <wp:extent cx="6120130" cy="63309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emissões líquidas evitadas de GEE provenientes do sequestro de carbono do biocarvão em unidades de tonelada equivalente de CO2 (CO2e) por ano [t CO2e ano^-1];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fs,i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massa seca da matéria-prima i disponível para conversão em biochar [t ano^-1];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rendimento em massa de base seca de biocarvão derivado da matéria-prima i;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c,i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fração de carbono orgânico de base seca do biocarvão derivado da matéria-prima i;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perm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fator de permanência do biochar, função apenas da temperatura média nacional do solo (Ts);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44/12 = fator de conversão de carbono em CO2e.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GEEbp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Emissões de GEE provenientes da produção de biocarvão [t CO2e ano^-1].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2w34vebi1ct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oitdle905ex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Quantificação dos recursos de resíduos de biomassa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Resíduos de culturas, esterco animal, resíduos de madeira florestal e biossólidos de águas residuais.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Filtrar cada uma das bases de dados subsequentes com base nas informações dadas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Conectar com cada uma das bases de dados.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todas as tabelas serão descartados os Missing values, com a flag ‘M’.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h4iu032inpu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Resíduos de culturas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(FAOSTAT). Dados de 2020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Seleciona 44 culturas de 182 disponíveis (82,6% da produção global)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25%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 quantificação dos resíduos de biomassa foi então realizada com base nas relações resíduo-produto (RPR) ou produção de resíduos areais (ARP), utilizando o primeiro quando ambos disponíveis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fatores de coleta de 70% e 100% para resíduos de campo e de processo.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Lógica aplicada: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país: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tipo de resíduo == ‘field’: </w:t>
        <w:br w:type="textWrapping"/>
        <w:tab/>
        <w:tab/>
        <w:t xml:space="preserve">fator de coleta = 0.7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tipo de coleta == ‘process’: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fator de coleta = 1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a cultura estiver na tabela suplementar: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na tabela suplementar tem RPR:</w:t>
        <w:br w:type="textWrapping"/>
        <w:tab/>
        <w:tab/>
        <w:tab/>
        <w:t xml:space="preserve">Multiplica produção por:</w:t>
        <w:tab/>
        <w:tab/>
        <w:tab/>
        <w:tab/>
        <w:tab/>
        <w:tab/>
        <w:tab/>
        <w:tab/>
        <w:tab/>
        <w:tab/>
        <w:tab/>
        <w:t xml:space="preserve">quantidade = PRODUCTION * RPR * FACTOR COLLECTION * (1-MOISTURE CONTENT)  * YIELD (RENDIMENTO)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na tabela suplementar tem ARP: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quantidade = FIELD * ARP * FACTOR COLLECTION*    (1-MOISTURE CONTENT) * YIELD (RENDIMENTO)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somar quantidade total ao final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resultados serão a quantificação dos resíduos de biomassa que podem ser transformados em biochar, que serão somados até ter o valor absoluto para cada país dentro da seção CROPS.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Observação dos países Malta e Latvia, não obtivemos as áreas das culturas que só havia ARP, sendo elas Orange, Lemons and Live, Tomatoes e Apples.</w:t>
      </w:r>
    </w:p>
    <w:p w:rsidR="00000000" w:rsidDel="00000000" w:rsidP="00000000" w:rsidRDefault="00000000" w:rsidRPr="00000000" w14:paraId="00000040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8u36uqu984ms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Estrume animal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Animais vivos apenas búfalos, bovinos, frangos, caprinos, equinos, ovinos e suínos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“elementos”, “estoques” foram selecionados para obter dados para 2020. Fatores para taxas de geração de estrume (kg d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vertAlign w:val="superscript"/>
              <w:rtl w:val="0"/>
            </w:rPr>
            <w:t xml:space="preserve">−1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hd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vertAlign w:val="superscript"/>
              <w:rtl w:val="0"/>
            </w:rPr>
            <w:t xml:space="preserve">−1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), fatores de coleta, conteúdo de sólidos e rendimento de biochar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c,i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39%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Lógica aplicada: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país: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 animal estiver na tabela suplementar: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Multiplicar o número de animais (olhar a tabela de unidades e fazer um condicional, multiplicando por 1000 quando for “1000 An”) pela produção de estrume (atenção,unidade diária), fator de coleta/100, rendimento/100, conteúdo sólido, e conteúdo orgânico de carbono de biochar e por 366 (número de dias do ano em questão)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Somar tudo do país.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v8f6fiolibyl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Resíduos de Madeira Florestal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FAOSTAT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“resíduos de madeira” e “aparas e partículas de madeira”.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“quantidade de produção”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fator de coleta de 100%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25%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c,i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81%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Não incluímos resíduos de madeira florestal utilizados como combustível e outras aplicações.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Lógica aplicada: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país: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Multiplicar Dry Bulk, fator de coleção, rendimento de biochar e fazer a soma depois.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4ptacijd2kg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Biossólidos de águas residenciais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JMP da OMS e da UNICEF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130 nações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“saneamento” e o elemento gerenciado com segurança especificado foi “esgoto tratado”.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fator de geração de biossólidos de 25,6 kg ano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vertAlign w:val="superscript"/>
              <w:rtl w:val="0"/>
            </w:rPr>
            <w:t xml:space="preserve">−1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pessoa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vertAlign w:val="superscript"/>
              <w:rtl w:val="0"/>
            </w:rPr>
            <w:t xml:space="preserve">−1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fator de coleta de 100%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55,2%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c,i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38%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Lógica aplicada: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país, multiplicar produção por pessoa pela população, (fator de coleção/100), (rendimento de biochar/100) e fazer a soma de tudo depois.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t8i2mv7dz6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Emissões da produção e aplicação de biochar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emissões de GEE consideram os materiais de construção necessários para a construção da planta de pirólise e a energia necessária para o pré-aquecimento da pirólise (gás natural), redução do tamanho da matéria-prima (eletricidade), pelotização do biochar (eletricidade) e sistemas auxiliares de instalações de pirólise (eletricidade) foram considerados na emissão.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Também inclui o combustível utilizado durante as operações de carregamento da matéria-prima e do biocarvão (diesel), o transporte em caminhão da matéria-prima e do biocarvão, respectivamente, de e para a planta de pirólise (diesel), e o espalhamento do biocarvão no campo usando um espalhador agrícola (diesel).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modelado, com os principais parâmetros de entrada resumidos na Tabela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assume que a planta de pirólise produz eletricidade e calor suficientes para se sustentar e secar a matéria-prima receptora.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Assumimos que há calor residual disponível suficiente para levar todas as matérias-primas a um nível de teor de umidade para uma pirólise ideal.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emissões associadas à produção, transporte e utilização de uma tonelada de biocarvão (em kg CO2 e por tonelada de biocarvão seco em forno) são calculadas seguindo a Eq.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209550</wp:posOffset>
            </wp:positionV>
            <wp:extent cx="3305175" cy="11811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t0wxdxuycb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Temperaturas médias nacionais do solo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QGIS versão 3.24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temperaturas médias anuais do ar em todo o mundo foram extraídas do Chelsa Climate Website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temperaturas do ar foram então convertidas em temperatura do solo usando as equações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calculada a média por país para fornecer uma temperatura média anual nacional do solo em terras agrícolas e pastagens.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adicional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Tabela S7.</w:t>
      </w:r>
    </w:p>
    <w:p w:rsidR="00000000" w:rsidDel="00000000" w:rsidP="00000000" w:rsidRDefault="00000000" w:rsidRPr="00000000" w14:paraId="00000074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13zvp1zfr8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Análise de incerteza (não implementada)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Simulações de Monte Carlo no software R versão 4.2.2 (R Core Team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10.000 iterações das distribuições e valores apresentados na Tabela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média e o desvio padrão das emissões de GEE associadas à produção de biochar por país são mostrados no arquivo adicional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Figura S1, com valores médios listados apenas no arquivo adicional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Tabela S6.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simulações de Monte Carlo para a avaliação do potencial total de biocarvão (Fig.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e do potencial de biocarvão como parcela das emissões do país (Fig.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incluíram fatores de incerteza adicionais sobre :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massa total de matéria-prima disponível (20% SD)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matéria-prima para -rendimento de conversão de biochar em base seca (5% SD)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fator de permanência de biochar (10% SD)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fração de carbono orgânico de biochar (5% SD).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Esses parâmetros de incerteza adicionais foram considerados normalmente distribuídos.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DRzWBT4cKZM1zpE9tCPNhjQzQ==">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2024-03-22T18:02:29Z</dcterms:created>
</cp:coreProperties>
</file>