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A4A"/>
          <w:sz w:val="56"/>
        </w:rPr>
        <w:t>Thina CRM</w:t>
      </w:r>
    </w:p>
    <w:p>
      <w:r>
        <w:rPr>
          <w:b/>
          <w:color w:val="1F6FEB"/>
          <w:sz w:val="40"/>
        </w:rPr>
        <w:t>Security Audit Report</w:t>
      </w:r>
    </w:p>
    <w:p>
      <w:pPr>
        <w:pBdr>
          <w:bottom w:val="single" w:sz="8" w:space="1" w:color="1F6FEB"/>
        </w:pBdr>
      </w:pPr>
    </w:p>
    <w:tbl>
      <w:tblPr>
        <w:tblStyle w:val="LightGrid-Accent1"/>
        <w:tblW w:type="auto" w:w="0"/>
        <w:tblLayout w:type="fixed"/>
        <w:tblLook w:firstColumn="1" w:firstRow="1" w:lastColumn="0" w:lastRow="0" w:noHBand="0" w:noVBand="1" w:val="04A0"/>
      </w:tblPr>
      <w:tblGrid>
        <w:gridCol w:w="4320"/>
        <w:gridCol w:w="4320"/>
      </w:tblGrid>
      <w:tr>
        <w:tc>
          <w:tcPr>
            <w:tcW w:type="dxa" w:w="2835"/>
          </w:tcPr>
          <w:p>
            <w:r/>
            <w:r>
              <w:rPr>
                <w:b/>
                <w:sz w:val="20"/>
              </w:rPr>
              <w:t>Report Version</w:t>
            </w:r>
          </w:p>
        </w:tc>
        <w:tc>
          <w:tcPr>
            <w:tcW w:type="dxa" w:w="6236"/>
          </w:tcPr>
          <w:p>
            <w:r/>
            <w:r>
              <w:rPr>
                <w:sz w:val="20"/>
              </w:rPr>
              <w:t>v2.0 — re-audit after F-01 / F-02 / F-05 remediations</w:t>
            </w:r>
          </w:p>
        </w:tc>
      </w:tr>
      <w:tr>
        <w:tc>
          <w:tcPr>
            <w:tcW w:type="dxa" w:w="2835"/>
          </w:tcPr>
          <w:p>
            <w:r/>
            <w:r>
              <w:rPr>
                <w:b/>
                <w:sz w:val="20"/>
              </w:rPr>
              <w:t>Report Date</w:t>
            </w:r>
          </w:p>
        </w:tc>
        <w:tc>
          <w:tcPr>
            <w:tcW w:type="dxa" w:w="6236"/>
          </w:tcPr>
          <w:p>
            <w:r/>
            <w:r>
              <w:rPr>
                <w:sz w:val="20"/>
              </w:rPr>
              <w:t>25 April 2026</w:t>
            </w:r>
          </w:p>
        </w:tc>
      </w:tr>
      <w:tr>
        <w:tc>
          <w:tcPr>
            <w:tcW w:type="dxa" w:w="2835"/>
          </w:tcPr>
          <w:p>
            <w:r/>
            <w:r>
              <w:rPr>
                <w:b/>
                <w:sz w:val="20"/>
              </w:rPr>
              <w:t>Application</w:t>
            </w:r>
          </w:p>
        </w:tc>
        <w:tc>
          <w:tcPr>
            <w:tcW w:type="dxa" w:w="6236"/>
          </w:tcPr>
          <w:p>
            <w:r/>
            <w:r>
              <w:rPr>
                <w:sz w:val="20"/>
              </w:rPr>
              <w:t>Thina CRM — South African Real Estate CRM</w:t>
            </w:r>
          </w:p>
        </w:tc>
      </w:tr>
      <w:tr>
        <w:tc>
          <w:tcPr>
            <w:tcW w:type="dxa" w:w="2835"/>
          </w:tcPr>
          <w:p>
            <w:r/>
            <w:r>
              <w:rPr>
                <w:b/>
                <w:sz w:val="20"/>
              </w:rPr>
              <w:t>Stack</w:t>
            </w:r>
          </w:p>
        </w:tc>
        <w:tc>
          <w:tcPr>
            <w:tcW w:type="dxa" w:w="6236"/>
          </w:tcPr>
          <w:p>
            <w:r/>
            <w:r>
              <w:rPr>
                <w:sz w:val="20"/>
              </w:rPr>
              <w:t>Next.js 15 (App Router), Firebase Auth, Firestore, Firebase Storage, Firebase App Hosting (africa-south1)</w:t>
            </w:r>
          </w:p>
        </w:tc>
      </w:tr>
      <w:tr>
        <w:tc>
          <w:tcPr>
            <w:tcW w:type="dxa" w:w="2835"/>
          </w:tcPr>
          <w:p>
            <w:r/>
            <w:r>
              <w:rPr>
                <w:b/>
                <w:sz w:val="20"/>
              </w:rPr>
              <w:t>Scope</w:t>
            </w:r>
          </w:p>
        </w:tc>
        <w:tc>
          <w:tcPr>
            <w:tcW w:type="dxa" w:w="6236"/>
          </w:tcPr>
          <w:p>
            <w:r/>
            <w:r>
              <w:rPr>
                <w:sz w:val="20"/>
              </w:rPr>
              <w:t>Authentication, API routes, Firestore/Storage rules, secrets management, dependencies, headers, rate limiting, POPIA</w:t>
            </w:r>
          </w:p>
        </w:tc>
      </w:tr>
      <w:tr>
        <w:tc>
          <w:tcPr>
            <w:tcW w:type="dxa" w:w="2835"/>
          </w:tcPr>
          <w:p>
            <w:r/>
            <w:r>
              <w:rPr>
                <w:b/>
                <w:sz w:val="20"/>
              </w:rPr>
              <w:t>Methodology</w:t>
            </w:r>
          </w:p>
        </w:tc>
        <w:tc>
          <w:tcPr>
            <w:tcW w:type="dxa" w:w="6236"/>
          </w:tcPr>
          <w:p>
            <w:r/>
            <w:r>
              <w:rPr>
                <w:sz w:val="20"/>
              </w:rPr>
              <w:t>OWASP Top 10 (2021), CWE Top 25, Firebase security best practices, manual code review</w:t>
            </w:r>
          </w:p>
        </w:tc>
      </w:tr>
      <w:tr>
        <w:tc>
          <w:tcPr>
            <w:tcW w:type="dxa" w:w="2835"/>
          </w:tcPr>
          <w:p>
            <w:r/>
            <w:r>
              <w:rPr>
                <w:b/>
                <w:sz w:val="20"/>
              </w:rPr>
              <w:t>Auditor</w:t>
            </w:r>
          </w:p>
        </w:tc>
        <w:tc>
          <w:tcPr>
            <w:tcW w:type="dxa" w:w="6236"/>
          </w:tcPr>
          <w:p>
            <w:r/>
            <w:r>
              <w:rPr>
                <w:sz w:val="20"/>
              </w:rPr>
              <w:t>Internal automated security review</w:t>
            </w:r>
          </w:p>
        </w:tc>
      </w:tr>
      <w:tr>
        <w:tc>
          <w:tcPr>
            <w:tcW w:type="dxa" w:w="2835"/>
          </w:tcPr>
          <w:p>
            <w:r/>
            <w:r>
              <w:rPr>
                <w:b/>
                <w:sz w:val="20"/>
              </w:rPr>
              <w:t>Classification</w:t>
            </w:r>
          </w:p>
        </w:tc>
        <w:tc>
          <w:tcPr>
            <w:tcW w:type="dxa" w:w="6236"/>
          </w:tcPr>
          <w:p>
            <w:r/>
            <w:r>
              <w:rPr>
                <w:sz w:val="20"/>
              </w:rPr>
              <w:t>Internal — Engineering</w:t>
            </w:r>
          </w:p>
        </w:tc>
      </w:tr>
    </w:tbl>
    <w:p/>
    <w:p>
      <w:pPr>
        <w:pStyle w:val="Heading1"/>
      </w:pPr>
      <w:r>
        <w:rPr>
          <w:rFonts w:ascii="Calibri" w:hAnsi="Calibri"/>
          <w:color w:val="0B2A4A"/>
        </w:rPr>
        <w:t>Overall Security Rating</w:t>
      </w:r>
    </w:p>
    <w:tbl>
      <w:tblPr>
        <w:tblStyle w:val="TableGrid"/>
        <w:tblW w:type="auto" w:w="0"/>
        <w:tblLook w:firstColumn="1" w:firstRow="1" w:lastColumn="0" w:lastRow="0" w:noHBand="0" w:noVBand="1" w:val="04A0"/>
      </w:tblPr>
      <w:tblGrid>
        <w:gridCol w:w="4320"/>
        <w:gridCol w:w="4320"/>
      </w:tblGrid>
      <w:tr>
        <w:tc>
          <w:tcPr>
            <w:tcW w:type="dxa" w:w="4320"/>
            <w:shd w:val="clear" w:color="auto" w:fill="0B2A4A"/>
          </w:tcPr>
          <w:p>
            <w:pPr>
              <w:jc w:val="center"/>
            </w:pPr>
            <w:r/>
            <w:r>
              <w:rPr>
                <w:b/>
                <w:color w:val="FFFFFF"/>
                <w:sz w:val="72"/>
              </w:rPr>
              <w:t>8.3 / 10</w:t>
            </w:r>
          </w:p>
          <w:p>
            <w:pPr>
              <w:jc w:val="center"/>
            </w:pPr>
            <w:r>
              <w:rPr>
                <w:b/>
                <w:color w:val="FFFFFF"/>
                <w:sz w:val="22"/>
              </w:rPr>
              <w:t>STRONG — Improved after Round 1 Remediation</w:t>
            </w:r>
          </w:p>
          <w:p>
            <w:pPr>
              <w:jc w:val="center"/>
            </w:pPr>
            <w:r>
              <w:rPr>
                <w:i/>
                <w:color w:val="FFFFFF"/>
                <w:sz w:val="20"/>
              </w:rPr>
              <w:t>Previous rating: 7.5 / 10  →  +0.8</w:t>
            </w:r>
          </w:p>
        </w:tc>
        <w:tc>
          <w:tcPr>
            <w:tcW w:type="dxa" w:w="4320"/>
          </w:tcPr>
          <w:p>
            <w:r/>
            <w:r>
              <w:rPr>
                <w:sz w:val="22"/>
              </w:rPr>
              <w:t>Thina CRM has closed both High-severity findings from the v1.0 audit and the related Medium webhook gap. The in-memory rate limiter has been replaced with a Firestore-transaction-backed implementation that survives across App Hosting instances; a Content-Security-Policy is now shipped in Report-Only mode pending a 24-48 hour observation window; and the inbound webhook is now per-source rate-limited. Two operational items remain: enabling the Firestore TTL policy on the new rateLimits collection before production deploy, and committing storage.rules. These are tracked in BACKLOG.md.</w:t>
            </w:r>
          </w:p>
        </w:tc>
      </w:tr>
    </w:tbl>
    <w:p/>
    <w:p>
      <w:pPr>
        <w:pStyle w:val="Heading2"/>
      </w:pPr>
      <w:r>
        <w:rPr>
          <w:rFonts w:ascii="Calibri" w:hAnsi="Calibri"/>
          <w:color w:val="0B2A4A"/>
        </w:rPr>
        <w:t>Rating Scale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2A4A"/>
          </w:tcPr>
          <w:p>
            <w:r/>
            <w:r>
              <w:rPr>
                <w:b/>
                <w:color w:val="FFFFFF"/>
                <w:sz w:val="20"/>
              </w:rPr>
              <w:t>Score</w:t>
            </w:r>
          </w:p>
        </w:tc>
        <w:tc>
          <w:tcPr>
            <w:tcW w:type="dxa" w:w="2880"/>
            <w:shd w:val="clear" w:color="auto" w:fill="0B2A4A"/>
          </w:tcPr>
          <w:p>
            <w:r/>
            <w:r>
              <w:rPr>
                <w:b/>
                <w:color w:val="FFFFFF"/>
                <w:sz w:val="20"/>
              </w:rPr>
              <w:t>Tier</w:t>
            </w:r>
          </w:p>
        </w:tc>
        <w:tc>
          <w:tcPr>
            <w:tcW w:type="dxa" w:w="2880"/>
            <w:shd w:val="clear" w:color="auto" w:fill="0B2A4A"/>
          </w:tcPr>
          <w:p>
            <w:r/>
            <w:r>
              <w:rPr>
                <w:b/>
                <w:color w:val="FFFFFF"/>
                <w:sz w:val="20"/>
              </w:rPr>
              <w:t>Meaning</w:t>
            </w:r>
          </w:p>
        </w:tc>
      </w:tr>
      <w:tr>
        <w:tc>
          <w:tcPr>
            <w:tcW w:type="dxa" w:w="2880"/>
            <w:vAlign w:val="center"/>
          </w:tcPr>
          <w:p>
            <w:r/>
            <w:r>
              <w:rPr>
                <w:sz w:val="20"/>
              </w:rPr>
              <w:t>9.0 – 10.0</w:t>
            </w:r>
          </w:p>
        </w:tc>
        <w:tc>
          <w:tcPr>
            <w:tcW w:type="dxa" w:w="2880"/>
            <w:vAlign w:val="center"/>
          </w:tcPr>
          <w:p>
            <w:r/>
            <w:r>
              <w:rPr>
                <w:sz w:val="20"/>
              </w:rPr>
              <w:t>Excellent</w:t>
            </w:r>
          </w:p>
        </w:tc>
        <w:tc>
          <w:tcPr>
            <w:tcW w:type="dxa" w:w="2880"/>
            <w:vAlign w:val="center"/>
          </w:tcPr>
          <w:p>
            <w:r/>
            <w:r>
              <w:rPr>
                <w:sz w:val="20"/>
              </w:rPr>
              <w:t>Defense-in-depth, hardened; suitable for regulated industries</w:t>
            </w:r>
          </w:p>
        </w:tc>
      </w:tr>
      <w:tr>
        <w:tc>
          <w:tcPr>
            <w:tcW w:type="dxa" w:w="2880"/>
            <w:vAlign w:val="center"/>
          </w:tcPr>
          <w:p>
            <w:r/>
            <w:r>
              <w:rPr>
                <w:sz w:val="20"/>
              </w:rPr>
              <w:t>7.5 – 8.9</w:t>
            </w:r>
          </w:p>
        </w:tc>
        <w:tc>
          <w:tcPr>
            <w:tcW w:type="dxa" w:w="2880"/>
            <w:vAlign w:val="center"/>
          </w:tcPr>
          <w:p>
            <w:r/>
            <w:r>
              <w:rPr>
                <w:sz w:val="20"/>
              </w:rPr>
              <w:t>Strong</w:t>
            </w:r>
          </w:p>
        </w:tc>
        <w:tc>
          <w:tcPr>
            <w:tcW w:type="dxa" w:w="2880"/>
            <w:vAlign w:val="center"/>
          </w:tcPr>
          <w:p>
            <w:r/>
            <w:r>
              <w:rPr>
                <w:sz w:val="20"/>
              </w:rPr>
              <w:t>Production-ready; minor gaps that don't block launch</w:t>
            </w:r>
          </w:p>
        </w:tc>
      </w:tr>
      <w:tr>
        <w:tc>
          <w:tcPr>
            <w:tcW w:type="dxa" w:w="2880"/>
            <w:vAlign w:val="center"/>
          </w:tcPr>
          <w:p>
            <w:r/>
            <w:r>
              <w:rPr>
                <w:sz w:val="20"/>
              </w:rPr>
              <w:t>6.0 – 7.4</w:t>
            </w:r>
          </w:p>
        </w:tc>
        <w:tc>
          <w:tcPr>
            <w:tcW w:type="dxa" w:w="2880"/>
            <w:vAlign w:val="center"/>
          </w:tcPr>
          <w:p>
            <w:r/>
            <w:r>
              <w:rPr>
                <w:sz w:val="20"/>
              </w:rPr>
              <w:t>Adequate</w:t>
            </w:r>
          </w:p>
        </w:tc>
        <w:tc>
          <w:tcPr>
            <w:tcW w:type="dxa" w:w="2880"/>
            <w:vAlign w:val="center"/>
          </w:tcPr>
          <w:p>
            <w:r/>
            <w:r>
              <w:rPr>
                <w:sz w:val="20"/>
              </w:rPr>
              <w:t>Acceptable for low-risk; remediate before scaling</w:t>
            </w:r>
          </w:p>
        </w:tc>
      </w:tr>
      <w:tr>
        <w:tc>
          <w:tcPr>
            <w:tcW w:type="dxa" w:w="2880"/>
            <w:vAlign w:val="center"/>
          </w:tcPr>
          <w:p>
            <w:r/>
            <w:r>
              <w:rPr>
                <w:sz w:val="20"/>
              </w:rPr>
              <w:t>4.0 – 5.9</w:t>
            </w:r>
          </w:p>
        </w:tc>
        <w:tc>
          <w:tcPr>
            <w:tcW w:type="dxa" w:w="2880"/>
            <w:vAlign w:val="center"/>
          </w:tcPr>
          <w:p>
            <w:r/>
            <w:r>
              <w:rPr>
                <w:sz w:val="20"/>
              </w:rPr>
              <w:t>Weak</w:t>
            </w:r>
          </w:p>
        </w:tc>
        <w:tc>
          <w:tcPr>
            <w:tcW w:type="dxa" w:w="2880"/>
            <w:vAlign w:val="center"/>
          </w:tcPr>
          <w:p>
            <w:r/>
            <w:r>
              <w:rPr>
                <w:sz w:val="20"/>
              </w:rPr>
              <w:t>Material risks present; requires remediation</w:t>
            </w:r>
          </w:p>
        </w:tc>
      </w:tr>
      <w:tr>
        <w:tc>
          <w:tcPr>
            <w:tcW w:type="dxa" w:w="2880"/>
            <w:vAlign w:val="center"/>
          </w:tcPr>
          <w:p>
            <w:r/>
            <w:r>
              <w:rPr>
                <w:sz w:val="20"/>
              </w:rPr>
              <w:t>0.0 – 3.9</w:t>
            </w:r>
          </w:p>
        </w:tc>
        <w:tc>
          <w:tcPr>
            <w:tcW w:type="dxa" w:w="2880"/>
            <w:vAlign w:val="center"/>
          </w:tcPr>
          <w:p>
            <w:r/>
            <w:r>
              <w:rPr>
                <w:sz w:val="20"/>
              </w:rPr>
              <w:t>Critical</w:t>
            </w:r>
          </w:p>
        </w:tc>
        <w:tc>
          <w:tcPr>
            <w:tcW w:type="dxa" w:w="2880"/>
            <w:vAlign w:val="center"/>
          </w:tcPr>
          <w:p>
            <w:r/>
            <w:r>
              <w:rPr>
                <w:sz w:val="20"/>
              </w:rPr>
              <w:t>Do not deploy to production</w:t>
            </w:r>
          </w:p>
        </w:tc>
      </w:tr>
    </w:tbl>
    <w:p>
      <w:r>
        <w:br w:type="page"/>
      </w:r>
    </w:p>
    <w:p>
      <w:pPr>
        <w:pStyle w:val="Heading1"/>
      </w:pPr>
      <w:r>
        <w:rPr>
          <w:rFonts w:ascii="Calibri" w:hAnsi="Calibri"/>
          <w:color w:val="0B2A4A"/>
        </w:rPr>
        <w:t>1. Executive Summary</w:t>
      </w:r>
    </w:p>
    <w:p>
      <w:r>
        <w:rPr>
          <w:rFonts w:ascii="Calibri" w:hAnsi="Calibri"/>
          <w:b w:val="0"/>
          <w:i w:val="0"/>
          <w:sz w:val="22"/>
        </w:rPr>
        <w:t>This report documents a security review of Thina CRM conducted against the OWASP Top 10 (2021) and Firebase security best practices. The review covered authentication, authorization, API surface area, Firestore and Storage rules, input validation, secrets handling, third-party dependencies, transport security headers, rate limiting, error handling, and POPIA (Protection of Personal Information Act, South Africa) considerations.</w:t>
      </w:r>
    </w:p>
    <w:p>
      <w:pPr>
        <w:pStyle w:val="Heading2"/>
      </w:pPr>
      <w:r>
        <w:rPr>
          <w:rFonts w:ascii="Calibri" w:hAnsi="Calibri"/>
          <w:color w:val="0B2A4A"/>
        </w:rPr>
        <w:t>Changes Since v1.0</w:t>
      </w:r>
    </w:p>
    <w:p>
      <w:pPr>
        <w:pStyle w:val="ListBullet"/>
      </w:pPr>
      <w:r>
        <w:rPr>
          <w:rFonts w:ascii="Calibri" w:hAnsi="Calibri"/>
          <w:sz w:val="22"/>
        </w:rPr>
        <w:t>F-01 (High) CLOSED: rate-limit.ts rewritten on top of adminDb.runTransaction; new rateLimits collection with TTL field; admin-only Firestore rule.</w:t>
      </w:r>
    </w:p>
    <w:p>
      <w:pPr>
        <w:pStyle w:val="ListBullet"/>
      </w:pPr>
      <w:r>
        <w:rPr>
          <w:rFonts w:ascii="Calibri" w:hAnsi="Calibri"/>
          <w:sz w:val="22"/>
        </w:rPr>
        <w:t>F-02 (High) PARTIAL: Content-Security-Policy-Report-Only header added in next.config.js with Firebase, Sentry and Google-Auth origins. Flip to enforcing after preview soak.</w:t>
      </w:r>
    </w:p>
    <w:p>
      <w:pPr>
        <w:pStyle w:val="ListBullet"/>
      </w:pPr>
      <w:r>
        <w:rPr>
          <w:rFonts w:ascii="Calibri" w:hAnsi="Calibri"/>
          <w:sz w:val="22"/>
        </w:rPr>
        <w:t>F-05 (Medium) CLOSED: new inboundLimiter (60/min) applied in /api/leads/inbound, keyed by X-Webhook-Source with x-forwarded-for fallback (HMAC still gates auth first).</w:t>
      </w:r>
    </w:p>
    <w:p>
      <w:pPr>
        <w:pStyle w:val="ListBullet"/>
      </w:pPr>
      <w:r>
        <w:rPr>
          <w:rFonts w:ascii="Calibri" w:hAnsi="Calibri"/>
          <w:sz w:val="22"/>
        </w:rPr>
        <w:t>All three pre-existing API rate-limit callers (sms, seed, cma) updated to await the now-async limiter; 95/95 unit tests pass; ESLint clean.</w:t>
      </w:r>
    </w:p>
    <w:p>
      <w:pPr>
        <w:pStyle w:val="Heading2"/>
      </w:pPr>
      <w:r>
        <w:rPr>
          <w:rFonts w:ascii="Calibri" w:hAnsi="Calibri"/>
          <w:color w:val="0B2A4A"/>
        </w:rPr>
        <w:t>Key Strengths</w:t>
      </w:r>
    </w:p>
    <w:p>
      <w:pPr>
        <w:pStyle w:val="ListBullet"/>
      </w:pPr>
      <w:r>
        <w:rPr>
          <w:rFonts w:ascii="Calibri" w:hAnsi="Calibri"/>
          <w:sz w:val="22"/>
        </w:rPr>
        <w:t>Firebase Auth ID tokens verified server-side via Admin SDK on every protected API route.</w:t>
      </w:r>
    </w:p>
    <w:p>
      <w:pPr>
        <w:pStyle w:val="ListBullet"/>
      </w:pPr>
      <w:r>
        <w:rPr>
          <w:rFonts w:ascii="Calibri" w:hAnsi="Calibri"/>
          <w:sz w:val="22"/>
        </w:rPr>
        <w:t>Firestore rules consistently enforce owner-scoped access (ownerId == request.auth.uid) across all 16 collections.</w:t>
      </w:r>
    </w:p>
    <w:p>
      <w:pPr>
        <w:pStyle w:val="ListBullet"/>
      </w:pPr>
      <w:r>
        <w:rPr>
          <w:rFonts w:ascii="Calibri" w:hAnsi="Calibri"/>
          <w:sz w:val="22"/>
        </w:rPr>
        <w:t>All inputs validated through Zod schemas; webhook endpoint uses HMAC-SHA256 with timing-safe comparison.</w:t>
      </w:r>
    </w:p>
    <w:p>
      <w:pPr>
        <w:pStyle w:val="ListBullet"/>
      </w:pPr>
      <w:r>
        <w:rPr>
          <w:rFonts w:ascii="Calibri" w:hAnsi="Calibri"/>
          <w:sz w:val="22"/>
        </w:rPr>
        <w:t>Secrets managed via Cloud Secret Manager and apphosting.yaml; .env*.local correctly gitignored.</w:t>
      </w:r>
    </w:p>
    <w:p>
      <w:pPr>
        <w:pStyle w:val="ListBullet"/>
      </w:pPr>
      <w:r>
        <w:rPr>
          <w:rFonts w:ascii="Calibri" w:hAnsi="Calibri"/>
          <w:sz w:val="22"/>
        </w:rPr>
        <w:t>Strong transport headers: HSTS (2 years, preload), X-Frame-Options DENY, X-Content-Type-Options nosniff, restrictive Permissions-Policy.</w:t>
      </w:r>
    </w:p>
    <w:p>
      <w:pPr>
        <w:pStyle w:val="ListBullet"/>
      </w:pPr>
      <w:r>
        <w:rPr>
          <w:rFonts w:ascii="Calibri" w:hAnsi="Calibri"/>
          <w:sz w:val="22"/>
        </w:rPr>
        <w:t>No use of dangerouslySetInnerHTML; no client-side storage of auth tokens or sensitive data.</w:t>
      </w:r>
    </w:p>
    <w:p>
      <w:pPr>
        <w:pStyle w:val="ListBullet"/>
      </w:pPr>
      <w:r>
        <w:rPr>
          <w:rFonts w:ascii="Calibri" w:hAnsi="Calibri"/>
          <w:sz w:val="22"/>
        </w:rPr>
        <w:t>Sentry error monitoring configured to disable session replay (only error replays captured).</w:t>
      </w:r>
    </w:p>
    <w:p>
      <w:pPr>
        <w:pStyle w:val="Heading2"/>
      </w:pPr>
      <w:r>
        <w:rPr>
          <w:rFonts w:ascii="Calibri" w:hAnsi="Calibri"/>
          <w:color w:val="0B2A4A"/>
        </w:rPr>
        <w:t>Remaining Risks</w:t>
      </w:r>
    </w:p>
    <w:p>
      <w:pPr>
        <w:pStyle w:val="ListBullet"/>
      </w:pPr>
      <w:r>
        <w:rPr>
          <w:rFonts w:ascii="Calibri" w:hAnsi="Calibri"/>
          <w:sz w:val="22"/>
        </w:rPr>
        <w:t>CSP is in Report-Only mode — XSS defense-in-depth not yet enforced. Flip to Content-Security-Policy after a clean 24-48 h soak in a preview channel.</w:t>
      </w:r>
    </w:p>
    <w:p>
      <w:pPr>
        <w:pStyle w:val="ListBullet"/>
      </w:pPr>
      <w:r>
        <w:rPr>
          <w:rFonts w:ascii="Calibri" w:hAnsi="Calibri"/>
          <w:sz w:val="22"/>
        </w:rPr>
        <w:t>Firestore TTL policy on rateLimits.expiresAt MUST be enabled in the Firebase console before production deploy or the rateLimits collection will grow unbounded (NEW-02).</w:t>
      </w:r>
    </w:p>
    <w:p>
      <w:pPr>
        <w:pStyle w:val="ListBullet"/>
      </w:pPr>
      <w:r>
        <w:rPr>
          <w:rFonts w:ascii="Calibri" w:hAnsi="Calibri"/>
          <w:sz w:val="22"/>
        </w:rPr>
        <w:t>storage.rules still not committed to the repo — Firebase Storage rules cannot be reviewed from source (F-03).</w:t>
      </w:r>
    </w:p>
    <w:p>
      <w:pPr>
        <w:pStyle w:val="ListBullet"/>
      </w:pPr>
      <w:r>
        <w:rPr>
          <w:rFonts w:ascii="Calibri" w:hAnsi="Calibri"/>
          <w:sz w:val="22"/>
        </w:rPr>
        <w:t>Rate limiter fails open on Firestore transaction errors (NEW-01) — deliberate trade-off favouring availability over hard-blocking; documented in code.</w:t>
      </w:r>
    </w:p>
    <w:p>
      <w:pPr>
        <w:pStyle w:val="ListBullet"/>
      </w:pPr>
      <w:r>
        <w:rPr>
          <w:rFonts w:ascii="Calibri" w:hAnsi="Calibri"/>
          <w:sz w:val="22"/>
        </w:rPr>
        <w:t>X-Webhook-Source header is client-supplied (NEW-03) — limits per-source bucketing only; HMAC remains the real auth gate.</w:t>
      </w:r>
    </w:p>
    <w:p>
      <w:pPr>
        <w:pStyle w:val="ListBullet"/>
      </w:pPr>
      <w:r>
        <w:rPr>
          <w:rFonts w:ascii="Calibri" w:hAnsi="Calibri"/>
          <w:sz w:val="22"/>
        </w:rPr>
        <w:t>POPIA consent enforcement before outbound channels (SMS/email) still not exhaustively traced (F-06).</w:t>
      </w:r>
    </w:p>
    <w:p>
      <w:r>
        <w:br w:type="page"/>
      </w:r>
    </w:p>
    <w:p>
      <w:pPr>
        <w:pStyle w:val="Heading1"/>
      </w:pPr>
      <w:r>
        <w:rPr>
          <w:rFonts w:ascii="Calibri" w:hAnsi="Calibri"/>
          <w:color w:val="0B2A4A"/>
        </w:rPr>
        <w:t>2. Methodology</w:t>
      </w:r>
    </w:p>
    <w:p>
      <w:r>
        <w:rPr>
          <w:rFonts w:ascii="Calibri" w:hAnsi="Calibri"/>
          <w:b w:val="0"/>
          <w:i w:val="0"/>
          <w:sz w:val="22"/>
        </w:rPr>
        <w:t>The audit consisted of a static code review across the application repository, focusing on entry points (middleware, API routes, public pages), trust boundaries (token verification, Firestore rules), and configuration (headers, secrets, deployment). The following frameworks were used as reference benchmarks:</w:t>
      </w:r>
    </w:p>
    <w:p>
      <w:pPr>
        <w:pStyle w:val="ListBullet"/>
      </w:pPr>
      <w:r>
        <w:rPr>
          <w:rFonts w:ascii="Calibri" w:hAnsi="Calibri"/>
          <w:sz w:val="22"/>
        </w:rPr>
        <w:t>OWASP Top 10 (2021) — A01 Broken Access Control through A10 SSRF.</w:t>
      </w:r>
    </w:p>
    <w:p>
      <w:pPr>
        <w:pStyle w:val="ListBullet"/>
      </w:pPr>
      <w:r>
        <w:rPr>
          <w:rFonts w:ascii="Calibri" w:hAnsi="Calibri"/>
          <w:sz w:val="22"/>
        </w:rPr>
        <w:t>OWASP API Security Top 10 (2023).</w:t>
      </w:r>
    </w:p>
    <w:p>
      <w:pPr>
        <w:pStyle w:val="ListBullet"/>
      </w:pPr>
      <w:r>
        <w:rPr>
          <w:rFonts w:ascii="Calibri" w:hAnsi="Calibri"/>
          <w:sz w:val="22"/>
        </w:rPr>
        <w:t>CWE Top 25 Most Dangerous Software Weaknesses.</w:t>
      </w:r>
    </w:p>
    <w:p>
      <w:pPr>
        <w:pStyle w:val="ListBullet"/>
      </w:pPr>
      <w:r>
        <w:rPr>
          <w:rFonts w:ascii="Calibri" w:hAnsi="Calibri"/>
          <w:sz w:val="22"/>
        </w:rPr>
        <w:t>Firebase security checklist (Firestore rules, Storage rules, Admin SDK usage).</w:t>
      </w:r>
    </w:p>
    <w:p>
      <w:pPr>
        <w:pStyle w:val="ListBullet"/>
      </w:pPr>
      <w:r>
        <w:rPr>
          <w:rFonts w:ascii="Calibri" w:hAnsi="Calibri"/>
          <w:sz w:val="22"/>
        </w:rPr>
        <w:t>POPIA Section 19 (security safeguards) and Section 11 (consent).</w:t>
      </w:r>
    </w:p>
    <w:p>
      <w:r>
        <w:rPr>
          <w:rFonts w:ascii="Calibri" w:hAnsi="Calibri"/>
          <w:b w:val="0"/>
          <w:i/>
          <w:color w:val="555F6D"/>
          <w:sz w:val="22"/>
        </w:rPr>
        <w:t>Dynamic testing (DAST), penetration testing, and load-based abuse simulation were out of scope for this review and are recommended as follow-up activities.</w:t>
      </w:r>
    </w:p>
    <w:p>
      <w:r>
        <w:br w:type="page"/>
      </w:r>
    </w:p>
    <w:p>
      <w:pPr>
        <w:pStyle w:val="Heading1"/>
      </w:pPr>
      <w:r>
        <w:rPr>
          <w:rFonts w:ascii="Calibri" w:hAnsi="Calibri"/>
          <w:color w:val="0B2A4A"/>
        </w:rPr>
        <w:t>3. Findings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B2A4A"/>
          </w:tcPr>
          <w:p>
            <w:r/>
            <w:r>
              <w:rPr>
                <w:b/>
                <w:color w:val="FFFFFF"/>
                <w:sz w:val="20"/>
              </w:rPr>
              <w:t>#</w:t>
            </w:r>
          </w:p>
        </w:tc>
        <w:tc>
          <w:tcPr>
            <w:tcW w:type="dxa" w:w="2160"/>
            <w:shd w:val="clear" w:color="auto" w:fill="0B2A4A"/>
          </w:tcPr>
          <w:p>
            <w:r/>
            <w:r>
              <w:rPr>
                <w:b/>
                <w:color w:val="FFFFFF"/>
                <w:sz w:val="20"/>
              </w:rPr>
              <w:t>Title</w:t>
            </w:r>
          </w:p>
        </w:tc>
        <w:tc>
          <w:tcPr>
            <w:tcW w:type="dxa" w:w="2160"/>
            <w:shd w:val="clear" w:color="auto" w:fill="0B2A4A"/>
          </w:tcPr>
          <w:p>
            <w:r/>
            <w:r>
              <w:rPr>
                <w:b/>
                <w:color w:val="FFFFFF"/>
                <w:sz w:val="20"/>
              </w:rPr>
              <w:t>Severity</w:t>
            </w:r>
          </w:p>
        </w:tc>
        <w:tc>
          <w:tcPr>
            <w:tcW w:type="dxa" w:w="2160"/>
            <w:shd w:val="clear" w:color="auto" w:fill="0B2A4A"/>
          </w:tcPr>
          <w:p>
            <w:r/>
            <w:r>
              <w:rPr>
                <w:b/>
                <w:color w:val="FFFFFF"/>
                <w:sz w:val="20"/>
              </w:rPr>
              <w:t>Status</w:t>
            </w:r>
          </w:p>
        </w:tc>
      </w:tr>
      <w:tr>
        <w:tc>
          <w:tcPr>
            <w:tcW w:type="dxa" w:w="2160"/>
            <w:vAlign w:val="center"/>
          </w:tcPr>
          <w:p>
            <w:r/>
            <w:r>
              <w:rPr>
                <w:sz w:val="20"/>
              </w:rPr>
              <w:t>F-01</w:t>
            </w:r>
          </w:p>
        </w:tc>
        <w:tc>
          <w:tcPr>
            <w:tcW w:type="dxa" w:w="2160"/>
            <w:vAlign w:val="center"/>
          </w:tcPr>
          <w:p>
            <w:r/>
            <w:r>
              <w:rPr>
                <w:sz w:val="20"/>
              </w:rPr>
              <w:t>In-memory rate limiter does not span App Hosting instances</w:t>
            </w:r>
          </w:p>
        </w:tc>
        <w:tc>
          <w:tcPr>
            <w:tcW w:type="dxa" w:w="2160"/>
            <w:vAlign w:val="center"/>
            <w:shd w:val="clear" w:color="auto" w:fill="C17A00"/>
          </w:tcPr>
          <w:p>
            <w:r/>
            <w:r>
              <w:rPr>
                <w:b/>
                <w:color w:val="FFFFFF"/>
                <w:sz w:val="20"/>
              </w:rPr>
              <w:t>High</w:t>
            </w:r>
          </w:p>
        </w:tc>
        <w:tc>
          <w:tcPr>
            <w:tcW w:type="dxa" w:w="2160"/>
            <w:vAlign w:val="center"/>
          </w:tcPr>
          <w:p>
            <w:r/>
            <w:r>
              <w:rPr>
                <w:sz w:val="20"/>
              </w:rPr>
              <w:t>Closed</w:t>
            </w:r>
          </w:p>
        </w:tc>
      </w:tr>
      <w:tr>
        <w:tc>
          <w:tcPr>
            <w:tcW w:type="dxa" w:w="2160"/>
            <w:vAlign w:val="center"/>
          </w:tcPr>
          <w:p>
            <w:r/>
            <w:r>
              <w:rPr>
                <w:sz w:val="20"/>
              </w:rPr>
              <w:t>F-02</w:t>
            </w:r>
          </w:p>
        </w:tc>
        <w:tc>
          <w:tcPr>
            <w:tcW w:type="dxa" w:w="2160"/>
            <w:vAlign w:val="center"/>
          </w:tcPr>
          <w:p>
            <w:r/>
            <w:r>
              <w:rPr>
                <w:sz w:val="20"/>
              </w:rPr>
              <w:t>Missing Content-Security-Policy header</w:t>
            </w:r>
          </w:p>
        </w:tc>
        <w:tc>
          <w:tcPr>
            <w:tcW w:type="dxa" w:w="2160"/>
            <w:vAlign w:val="center"/>
            <w:shd w:val="clear" w:color="auto" w:fill="C17A00"/>
          </w:tcPr>
          <w:p>
            <w:r/>
            <w:r>
              <w:rPr>
                <w:b/>
                <w:color w:val="FFFFFF"/>
                <w:sz w:val="20"/>
              </w:rPr>
              <w:t>High</w:t>
            </w:r>
          </w:p>
        </w:tc>
        <w:tc>
          <w:tcPr>
            <w:tcW w:type="dxa" w:w="2160"/>
            <w:vAlign w:val="center"/>
          </w:tcPr>
          <w:p>
            <w:r/>
            <w:r>
              <w:rPr>
                <w:sz w:val="20"/>
              </w:rPr>
              <w:t>Partial</w:t>
            </w:r>
          </w:p>
        </w:tc>
      </w:tr>
      <w:tr>
        <w:tc>
          <w:tcPr>
            <w:tcW w:type="dxa" w:w="2160"/>
            <w:vAlign w:val="center"/>
          </w:tcPr>
          <w:p>
            <w:r/>
            <w:r>
              <w:rPr>
                <w:sz w:val="20"/>
              </w:rPr>
              <w:t>F-03</w:t>
            </w:r>
          </w:p>
        </w:tc>
        <w:tc>
          <w:tcPr>
            <w:tcW w:type="dxa" w:w="2160"/>
            <w:vAlign w:val="center"/>
          </w:tcPr>
          <w:p>
            <w:r/>
            <w:r>
              <w:rPr>
                <w:sz w:val="20"/>
              </w:rPr>
              <w:t>storage.rules file not present in repository</w:t>
            </w:r>
          </w:p>
        </w:tc>
        <w:tc>
          <w:tcPr>
            <w:tcW w:type="dxa" w:w="2160"/>
            <w:vAlign w:val="center"/>
            <w:shd w:val="clear" w:color="auto" w:fill="D9A441"/>
          </w:tcPr>
          <w:p>
            <w:r/>
            <w:r>
              <w:rPr>
                <w:b/>
                <w:color w:val="FFFFFF"/>
                <w:sz w:val="20"/>
              </w:rPr>
              <w:t>Medium</w:t>
            </w:r>
          </w:p>
        </w:tc>
        <w:tc>
          <w:tcPr>
            <w:tcW w:type="dxa" w:w="2160"/>
            <w:vAlign w:val="center"/>
          </w:tcPr>
          <w:p>
            <w:r/>
            <w:r>
              <w:rPr>
                <w:sz w:val="20"/>
              </w:rPr>
              <w:t>Open</w:t>
            </w:r>
          </w:p>
        </w:tc>
      </w:tr>
      <w:tr>
        <w:tc>
          <w:tcPr>
            <w:tcW w:type="dxa" w:w="2160"/>
            <w:vAlign w:val="center"/>
          </w:tcPr>
          <w:p>
            <w:r/>
            <w:r>
              <w:rPr>
                <w:sz w:val="20"/>
              </w:rPr>
              <w:t>F-04</w:t>
            </w:r>
          </w:p>
        </w:tc>
        <w:tc>
          <w:tcPr>
            <w:tcW w:type="dxa" w:w="2160"/>
            <w:vAlign w:val="center"/>
          </w:tcPr>
          <w:p>
            <w:r/>
            <w:r>
              <w:rPr>
                <w:sz w:val="20"/>
              </w:rPr>
              <w:t>showDays collection allows public read (intentional)</w:t>
            </w:r>
          </w:p>
        </w:tc>
        <w:tc>
          <w:tcPr>
            <w:tcW w:type="dxa" w:w="2160"/>
            <w:vAlign w:val="center"/>
            <w:shd w:val="clear" w:color="auto" w:fill="D9A441"/>
          </w:tcPr>
          <w:p>
            <w:r/>
            <w:r>
              <w:rPr>
                <w:b/>
                <w:color w:val="FFFFFF"/>
                <w:sz w:val="20"/>
              </w:rPr>
              <w:t>Medium</w:t>
            </w:r>
          </w:p>
        </w:tc>
        <w:tc>
          <w:tcPr>
            <w:tcW w:type="dxa" w:w="2160"/>
            <w:vAlign w:val="center"/>
          </w:tcPr>
          <w:p>
            <w:r/>
            <w:r>
              <w:rPr>
                <w:sz w:val="20"/>
              </w:rPr>
              <w:t>Accepted</w:t>
            </w:r>
          </w:p>
        </w:tc>
      </w:tr>
      <w:tr>
        <w:tc>
          <w:tcPr>
            <w:tcW w:type="dxa" w:w="2160"/>
            <w:vAlign w:val="center"/>
          </w:tcPr>
          <w:p>
            <w:r/>
            <w:r>
              <w:rPr>
                <w:sz w:val="20"/>
              </w:rPr>
              <w:t>F-05</w:t>
            </w:r>
          </w:p>
        </w:tc>
        <w:tc>
          <w:tcPr>
            <w:tcW w:type="dxa" w:w="2160"/>
            <w:vAlign w:val="center"/>
          </w:tcPr>
          <w:p>
            <w:r/>
            <w:r>
              <w:rPr>
                <w:sz w:val="20"/>
              </w:rPr>
              <w:t>Inbound webhook lacks per-source rate limiting</w:t>
            </w:r>
          </w:p>
        </w:tc>
        <w:tc>
          <w:tcPr>
            <w:tcW w:type="dxa" w:w="2160"/>
            <w:vAlign w:val="center"/>
            <w:shd w:val="clear" w:color="auto" w:fill="D9A441"/>
          </w:tcPr>
          <w:p>
            <w:r/>
            <w:r>
              <w:rPr>
                <w:b/>
                <w:color w:val="FFFFFF"/>
                <w:sz w:val="20"/>
              </w:rPr>
              <w:t>Medium</w:t>
            </w:r>
          </w:p>
        </w:tc>
        <w:tc>
          <w:tcPr>
            <w:tcW w:type="dxa" w:w="2160"/>
            <w:vAlign w:val="center"/>
          </w:tcPr>
          <w:p>
            <w:r/>
            <w:r>
              <w:rPr>
                <w:sz w:val="20"/>
              </w:rPr>
              <w:t>Closed</w:t>
            </w:r>
          </w:p>
        </w:tc>
      </w:tr>
      <w:tr>
        <w:tc>
          <w:tcPr>
            <w:tcW w:type="dxa" w:w="2160"/>
            <w:vAlign w:val="center"/>
          </w:tcPr>
          <w:p>
            <w:r/>
            <w:r>
              <w:rPr>
                <w:sz w:val="20"/>
              </w:rPr>
              <w:t>F-06</w:t>
            </w:r>
          </w:p>
        </w:tc>
        <w:tc>
          <w:tcPr>
            <w:tcW w:type="dxa" w:w="2160"/>
            <w:vAlign w:val="center"/>
          </w:tcPr>
          <w:p>
            <w:r/>
            <w:r>
              <w:rPr>
                <w:sz w:val="20"/>
              </w:rPr>
              <w:t>POPIA consent enforcement before outbound channels not fully verified</w:t>
            </w:r>
          </w:p>
        </w:tc>
        <w:tc>
          <w:tcPr>
            <w:tcW w:type="dxa" w:w="2160"/>
            <w:vAlign w:val="center"/>
            <w:shd w:val="clear" w:color="auto" w:fill="D9A441"/>
          </w:tcPr>
          <w:p>
            <w:r/>
            <w:r>
              <w:rPr>
                <w:b/>
                <w:color w:val="FFFFFF"/>
                <w:sz w:val="20"/>
              </w:rPr>
              <w:t>Medium</w:t>
            </w:r>
          </w:p>
        </w:tc>
        <w:tc>
          <w:tcPr>
            <w:tcW w:type="dxa" w:w="2160"/>
            <w:vAlign w:val="center"/>
          </w:tcPr>
          <w:p>
            <w:r/>
            <w:r>
              <w:rPr>
                <w:sz w:val="20"/>
              </w:rPr>
              <w:t>Open</w:t>
            </w:r>
          </w:p>
        </w:tc>
      </w:tr>
      <w:tr>
        <w:tc>
          <w:tcPr>
            <w:tcW w:type="dxa" w:w="2160"/>
            <w:vAlign w:val="center"/>
          </w:tcPr>
          <w:p>
            <w:r/>
            <w:r>
              <w:rPr>
                <w:sz w:val="20"/>
              </w:rPr>
              <w:t>F-07</w:t>
            </w:r>
          </w:p>
        </w:tc>
        <w:tc>
          <w:tcPr>
            <w:tcW w:type="dxa" w:w="2160"/>
            <w:vAlign w:val="center"/>
          </w:tcPr>
          <w:p>
            <w:r/>
            <w:r>
              <w:rPr>
                <w:sz w:val="20"/>
              </w:rPr>
              <w:t>Session cookie not HttpOnly (required for Edge Middleware)</w:t>
            </w:r>
          </w:p>
        </w:tc>
        <w:tc>
          <w:tcPr>
            <w:tcW w:type="dxa" w:w="2160"/>
            <w:vAlign w:val="center"/>
            <w:shd w:val="clear" w:color="auto" w:fill="1F7A3C"/>
          </w:tcPr>
          <w:p>
            <w:r/>
            <w:r>
              <w:rPr>
                <w:b/>
                <w:color w:val="FFFFFF"/>
                <w:sz w:val="20"/>
              </w:rPr>
              <w:t>Low</w:t>
            </w:r>
          </w:p>
        </w:tc>
        <w:tc>
          <w:tcPr>
            <w:tcW w:type="dxa" w:w="2160"/>
            <w:vAlign w:val="center"/>
          </w:tcPr>
          <w:p>
            <w:r/>
            <w:r>
              <w:rPr>
                <w:sz w:val="20"/>
              </w:rPr>
              <w:t>Accepted</w:t>
            </w:r>
          </w:p>
        </w:tc>
      </w:tr>
      <w:tr>
        <w:tc>
          <w:tcPr>
            <w:tcW w:type="dxa" w:w="2160"/>
            <w:vAlign w:val="center"/>
          </w:tcPr>
          <w:p>
            <w:r/>
            <w:r>
              <w:rPr>
                <w:sz w:val="20"/>
              </w:rPr>
              <w:t>F-08</w:t>
            </w:r>
          </w:p>
        </w:tc>
        <w:tc>
          <w:tcPr>
            <w:tcW w:type="dxa" w:w="2160"/>
            <w:vAlign w:val="center"/>
          </w:tcPr>
          <w:p>
            <w:r/>
            <w:r>
              <w:rPr>
                <w:sz w:val="20"/>
              </w:rPr>
              <w:t>Email format not validated in Firestore rules</w:t>
            </w:r>
          </w:p>
        </w:tc>
        <w:tc>
          <w:tcPr>
            <w:tcW w:type="dxa" w:w="2160"/>
            <w:vAlign w:val="center"/>
            <w:shd w:val="clear" w:color="auto" w:fill="1F7A3C"/>
          </w:tcPr>
          <w:p>
            <w:r/>
            <w:r>
              <w:rPr>
                <w:b/>
                <w:color w:val="FFFFFF"/>
                <w:sz w:val="20"/>
              </w:rPr>
              <w:t>Low</w:t>
            </w:r>
          </w:p>
        </w:tc>
        <w:tc>
          <w:tcPr>
            <w:tcW w:type="dxa" w:w="2160"/>
            <w:vAlign w:val="center"/>
          </w:tcPr>
          <w:p>
            <w:r/>
            <w:r>
              <w:rPr>
                <w:sz w:val="20"/>
              </w:rPr>
              <w:t>Open</w:t>
            </w:r>
          </w:p>
        </w:tc>
      </w:tr>
      <w:tr>
        <w:tc>
          <w:tcPr>
            <w:tcW w:type="dxa" w:w="2160"/>
            <w:vAlign w:val="center"/>
          </w:tcPr>
          <w:p>
            <w:r/>
            <w:r>
              <w:rPr>
                <w:sz w:val="20"/>
              </w:rPr>
              <w:t>F-09</w:t>
            </w:r>
          </w:p>
        </w:tc>
        <w:tc>
          <w:tcPr>
            <w:tcW w:type="dxa" w:w="2160"/>
            <w:vAlign w:val="center"/>
          </w:tcPr>
          <w:p>
            <w:r/>
            <w:r>
              <w:rPr>
                <w:sz w:val="20"/>
              </w:rPr>
              <w:t>GDPR data subject endpoints (export/delete) not present</w:t>
            </w:r>
          </w:p>
        </w:tc>
        <w:tc>
          <w:tcPr>
            <w:tcW w:type="dxa" w:w="2160"/>
            <w:vAlign w:val="center"/>
            <w:shd w:val="clear" w:color="auto" w:fill="1F7A3C"/>
          </w:tcPr>
          <w:p>
            <w:r/>
            <w:r>
              <w:rPr>
                <w:b/>
                <w:color w:val="FFFFFF"/>
                <w:sz w:val="20"/>
              </w:rPr>
              <w:t>Low</w:t>
            </w:r>
          </w:p>
        </w:tc>
        <w:tc>
          <w:tcPr>
            <w:tcW w:type="dxa" w:w="2160"/>
            <w:vAlign w:val="center"/>
          </w:tcPr>
          <w:p>
            <w:r/>
            <w:r>
              <w:rPr>
                <w:sz w:val="20"/>
              </w:rPr>
              <w:t>Open</w:t>
            </w:r>
          </w:p>
        </w:tc>
      </w:tr>
      <w:tr>
        <w:tc>
          <w:tcPr>
            <w:tcW w:type="dxa" w:w="2160"/>
            <w:vAlign w:val="center"/>
          </w:tcPr>
          <w:p>
            <w:r/>
            <w:r>
              <w:rPr>
                <w:sz w:val="20"/>
              </w:rPr>
              <w:t>NEW-01</w:t>
            </w:r>
          </w:p>
        </w:tc>
        <w:tc>
          <w:tcPr>
            <w:tcW w:type="dxa" w:w="2160"/>
            <w:vAlign w:val="center"/>
          </w:tcPr>
          <w:p>
            <w:r/>
            <w:r>
              <w:rPr>
                <w:sz w:val="20"/>
              </w:rPr>
              <w:t>Rate limiter fails open on Firestore transaction failure</w:t>
            </w:r>
          </w:p>
        </w:tc>
        <w:tc>
          <w:tcPr>
            <w:tcW w:type="dxa" w:w="2160"/>
            <w:vAlign w:val="center"/>
            <w:shd w:val="clear" w:color="auto" w:fill="1F7A3C"/>
          </w:tcPr>
          <w:p>
            <w:r/>
            <w:r>
              <w:rPr>
                <w:b/>
                <w:color w:val="FFFFFF"/>
                <w:sz w:val="20"/>
              </w:rPr>
              <w:t>Low</w:t>
            </w:r>
          </w:p>
        </w:tc>
        <w:tc>
          <w:tcPr>
            <w:tcW w:type="dxa" w:w="2160"/>
            <w:vAlign w:val="center"/>
          </w:tcPr>
          <w:p>
            <w:r/>
            <w:r>
              <w:rPr>
                <w:sz w:val="20"/>
              </w:rPr>
              <w:t>Accepted</w:t>
            </w:r>
          </w:p>
        </w:tc>
      </w:tr>
      <w:tr>
        <w:tc>
          <w:tcPr>
            <w:tcW w:type="dxa" w:w="2160"/>
            <w:vAlign w:val="center"/>
          </w:tcPr>
          <w:p>
            <w:r/>
            <w:r>
              <w:rPr>
                <w:sz w:val="20"/>
              </w:rPr>
              <w:t>NEW-02</w:t>
            </w:r>
          </w:p>
        </w:tc>
        <w:tc>
          <w:tcPr>
            <w:tcW w:type="dxa" w:w="2160"/>
            <w:vAlign w:val="center"/>
          </w:tcPr>
          <w:p>
            <w:r/>
            <w:r>
              <w:rPr>
                <w:sz w:val="20"/>
              </w:rPr>
              <w:t>Firestore TTL policy on rateLimits.expiresAt must be enabled before deploy</w:t>
            </w:r>
          </w:p>
        </w:tc>
        <w:tc>
          <w:tcPr>
            <w:tcW w:type="dxa" w:w="2160"/>
            <w:vAlign w:val="center"/>
            <w:shd w:val="clear" w:color="auto" w:fill="D9A441"/>
          </w:tcPr>
          <w:p>
            <w:r/>
            <w:r>
              <w:rPr>
                <w:b/>
                <w:color w:val="FFFFFF"/>
                <w:sz w:val="20"/>
              </w:rPr>
              <w:t>Medium</w:t>
            </w:r>
          </w:p>
        </w:tc>
        <w:tc>
          <w:tcPr>
            <w:tcW w:type="dxa" w:w="2160"/>
            <w:vAlign w:val="center"/>
          </w:tcPr>
          <w:p>
            <w:r/>
            <w:r>
              <w:rPr>
                <w:sz w:val="20"/>
              </w:rPr>
              <w:t>Open</w:t>
            </w:r>
          </w:p>
        </w:tc>
      </w:tr>
      <w:tr>
        <w:tc>
          <w:tcPr>
            <w:tcW w:type="dxa" w:w="2160"/>
            <w:vAlign w:val="center"/>
          </w:tcPr>
          <w:p>
            <w:r/>
            <w:r>
              <w:rPr>
                <w:sz w:val="20"/>
              </w:rPr>
              <w:t>NEW-03</w:t>
            </w:r>
          </w:p>
        </w:tc>
        <w:tc>
          <w:tcPr>
            <w:tcW w:type="dxa" w:w="2160"/>
            <w:vAlign w:val="center"/>
          </w:tcPr>
          <w:p>
            <w:r/>
            <w:r>
              <w:rPr>
                <w:sz w:val="20"/>
              </w:rPr>
              <w:t>X-Webhook-Source header is client-supplied (rate-limit bucketing only)</w:t>
            </w:r>
          </w:p>
        </w:tc>
        <w:tc>
          <w:tcPr>
            <w:tcW w:type="dxa" w:w="2160"/>
            <w:vAlign w:val="center"/>
            <w:shd w:val="clear" w:color="auto" w:fill="1F7A3C"/>
          </w:tcPr>
          <w:p>
            <w:r/>
            <w:r>
              <w:rPr>
                <w:b/>
                <w:color w:val="FFFFFF"/>
                <w:sz w:val="20"/>
              </w:rPr>
              <w:t>Low</w:t>
            </w:r>
          </w:p>
        </w:tc>
        <w:tc>
          <w:tcPr>
            <w:tcW w:type="dxa" w:w="2160"/>
            <w:vAlign w:val="center"/>
          </w:tcPr>
          <w:p>
            <w:r/>
            <w:r>
              <w:rPr>
                <w:sz w:val="20"/>
              </w:rPr>
              <w:t>Accepted</w:t>
            </w:r>
          </w:p>
        </w:tc>
      </w:tr>
    </w:tbl>
    <w:p>
      <w:r>
        <w:rPr>
          <w:rFonts w:ascii="Calibri" w:hAnsi="Calibri"/>
          <w:b w:val="0"/>
          <w:i/>
          <w:color w:val="555F6D"/>
          <w:sz w:val="18"/>
        </w:rPr>
        <w:t>Status legend: Closed = remediated; Partial = remediated but not yet enforcing or fully proven; Open = not yet addressed; Accepted = risk acknowledged and intentional.</w:t>
      </w:r>
    </w:p>
    <w:p>
      <w:r>
        <w:br w:type="page"/>
      </w:r>
    </w:p>
    <w:p>
      <w:pPr>
        <w:pStyle w:val="Heading1"/>
      </w:pPr>
      <w:r>
        <w:rPr>
          <w:rFonts w:ascii="Calibri" w:hAnsi="Calibri"/>
          <w:color w:val="0B2A4A"/>
        </w:rPr>
        <w:t>4. Detailed Findings</w:t>
      </w:r>
    </w:p>
    <w:p>
      <w:pPr>
        <w:pStyle w:val="Heading2"/>
      </w:pPr>
      <w:r>
        <w:rPr>
          <w:rFonts w:ascii="Calibri" w:hAnsi="Calibri"/>
          <w:color w:val="0B2A4A"/>
        </w:rPr>
        <w:t>4.1 Authentication &amp; Session Management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2A4A"/>
          </w:tcPr>
          <w:p>
            <w:r/>
            <w:r>
              <w:rPr>
                <w:b/>
                <w:color w:val="FFFFFF"/>
                <w:sz w:val="20"/>
              </w:rPr>
              <w:t>Control</w:t>
            </w:r>
          </w:p>
        </w:tc>
        <w:tc>
          <w:tcPr>
            <w:tcW w:type="dxa" w:w="2880"/>
            <w:shd w:val="clear" w:color="auto" w:fill="0B2A4A"/>
          </w:tcPr>
          <w:p>
            <w:r/>
            <w:r>
              <w:rPr>
                <w:b/>
                <w:color w:val="FFFFFF"/>
                <w:sz w:val="20"/>
              </w:rPr>
              <w:t>Status</w:t>
            </w:r>
          </w:p>
        </w:tc>
        <w:tc>
          <w:tcPr>
            <w:tcW w:type="dxa" w:w="2880"/>
            <w:shd w:val="clear" w:color="auto" w:fill="0B2A4A"/>
          </w:tcPr>
          <w:p>
            <w:r/>
            <w:r>
              <w:rPr>
                <w:b/>
                <w:color w:val="FFFFFF"/>
                <w:sz w:val="20"/>
              </w:rPr>
              <w:t>Notes</w:t>
            </w:r>
          </w:p>
        </w:tc>
      </w:tr>
      <w:tr>
        <w:tc>
          <w:tcPr>
            <w:tcW w:type="dxa" w:w="2880"/>
            <w:vAlign w:val="center"/>
          </w:tcPr>
          <w:p>
            <w:r/>
            <w:r>
              <w:rPr>
                <w:sz w:val="20"/>
              </w:rPr>
              <w:t>Server-side ID token verification (Firebase Admin)</w:t>
            </w:r>
          </w:p>
        </w:tc>
        <w:tc>
          <w:tcPr>
            <w:tcW w:type="dxa" w:w="2880"/>
            <w:vAlign w:val="center"/>
            <w:shd w:val="clear" w:color="auto" w:fill="1F7A3C"/>
          </w:tcPr>
          <w:p>
            <w:r/>
            <w:r>
              <w:rPr>
                <w:b/>
                <w:color w:val="FFFFFF"/>
                <w:sz w:val="20"/>
              </w:rPr>
              <w:t>Pass</w:t>
            </w:r>
          </w:p>
        </w:tc>
        <w:tc>
          <w:tcPr>
            <w:tcW w:type="dxa" w:w="2880"/>
            <w:vAlign w:val="center"/>
          </w:tcPr>
          <w:p>
            <w:r/>
            <w:r>
              <w:rPr>
                <w:sz w:val="20"/>
              </w:rPr>
              <w:t>verifyIdToken used in /api/sms/send, /api/cma/research, /api/seed</w:t>
            </w:r>
          </w:p>
        </w:tc>
      </w:tr>
      <w:tr>
        <w:tc>
          <w:tcPr>
            <w:tcW w:type="dxa" w:w="2880"/>
            <w:vAlign w:val="center"/>
          </w:tcPr>
          <w:p>
            <w:r/>
            <w:r>
              <w:rPr>
                <w:sz w:val="20"/>
              </w:rPr>
              <w:t>Session cookie set with SameSite=Lax</w:t>
            </w:r>
          </w:p>
        </w:tc>
        <w:tc>
          <w:tcPr>
            <w:tcW w:type="dxa" w:w="2880"/>
            <w:vAlign w:val="center"/>
            <w:shd w:val="clear" w:color="auto" w:fill="1F7A3C"/>
          </w:tcPr>
          <w:p>
            <w:r/>
            <w:r>
              <w:rPr>
                <w:b/>
                <w:color w:val="FFFFFF"/>
                <w:sz w:val="20"/>
              </w:rPr>
              <w:t>Pass</w:t>
            </w:r>
          </w:p>
        </w:tc>
        <w:tc>
          <w:tcPr>
            <w:tcW w:type="dxa" w:w="2880"/>
            <w:vAlign w:val="center"/>
          </w:tcPr>
          <w:p>
            <w:r/>
            <w:r>
              <w:rPr>
                <w:sz w:val="20"/>
              </w:rPr>
              <w:t>src/components/auth-provider.tsx — Lax + Secure on HTTPS</w:t>
            </w:r>
          </w:p>
        </w:tc>
      </w:tr>
      <w:tr>
        <w:tc>
          <w:tcPr>
            <w:tcW w:type="dxa" w:w="2880"/>
            <w:vAlign w:val="center"/>
          </w:tcPr>
          <w:p>
            <w:r/>
            <w:r>
              <w:rPr>
                <w:sz w:val="20"/>
              </w:rPr>
              <w:t>Session cookie HttpOnly</w:t>
            </w:r>
          </w:p>
        </w:tc>
        <w:tc>
          <w:tcPr>
            <w:tcW w:type="dxa" w:w="2880"/>
            <w:vAlign w:val="center"/>
            <w:shd w:val="clear" w:color="auto" w:fill="C17A00"/>
          </w:tcPr>
          <w:p>
            <w:r/>
            <w:r>
              <w:rPr>
                <w:b/>
                <w:color w:val="FFFFFF"/>
                <w:sz w:val="20"/>
              </w:rPr>
              <w:t>Partial</w:t>
            </w:r>
          </w:p>
        </w:tc>
        <w:tc>
          <w:tcPr>
            <w:tcW w:type="dxa" w:w="2880"/>
            <w:vAlign w:val="center"/>
          </w:tcPr>
          <w:p>
            <w:r/>
            <w:r>
              <w:rPr>
                <w:sz w:val="20"/>
              </w:rPr>
              <w:t>Not set; required for Edge Middleware to read. Acceptable trade-off</w:t>
            </w:r>
          </w:p>
        </w:tc>
      </w:tr>
      <w:tr>
        <w:tc>
          <w:tcPr>
            <w:tcW w:type="dxa" w:w="2880"/>
            <w:vAlign w:val="center"/>
          </w:tcPr>
          <w:p>
            <w:r/>
            <w:r>
              <w:rPr>
                <w:sz w:val="20"/>
              </w:rPr>
              <w:t>Cookie max-age aligned to ID token TTL</w:t>
            </w:r>
          </w:p>
        </w:tc>
        <w:tc>
          <w:tcPr>
            <w:tcW w:type="dxa" w:w="2880"/>
            <w:vAlign w:val="center"/>
            <w:shd w:val="clear" w:color="auto" w:fill="1F7A3C"/>
          </w:tcPr>
          <w:p>
            <w:r/>
            <w:r>
              <w:rPr>
                <w:b/>
                <w:color w:val="FFFFFF"/>
                <w:sz w:val="20"/>
              </w:rPr>
              <w:t>Pass</w:t>
            </w:r>
          </w:p>
        </w:tc>
        <w:tc>
          <w:tcPr>
            <w:tcW w:type="dxa" w:w="2880"/>
            <w:vAlign w:val="center"/>
          </w:tcPr>
          <w:p>
            <w:r/>
            <w:r>
              <w:rPr>
                <w:sz w:val="20"/>
              </w:rPr>
              <w:t>3600s; refreshed via onIdTokenChanged</w:t>
            </w:r>
          </w:p>
        </w:tc>
      </w:tr>
      <w:tr>
        <w:tc>
          <w:tcPr>
            <w:tcW w:type="dxa" w:w="2880"/>
            <w:vAlign w:val="center"/>
          </w:tcPr>
          <w:p>
            <w:r/>
            <w:r>
              <w:rPr>
                <w:sz w:val="20"/>
              </w:rPr>
              <w:t>Middleware auth gate on protected paths</w:t>
            </w:r>
          </w:p>
        </w:tc>
        <w:tc>
          <w:tcPr>
            <w:tcW w:type="dxa" w:w="2880"/>
            <w:vAlign w:val="center"/>
            <w:shd w:val="clear" w:color="auto" w:fill="1F7A3C"/>
          </w:tcPr>
          <w:p>
            <w:r/>
            <w:r>
              <w:rPr>
                <w:b/>
                <w:color w:val="FFFFFF"/>
                <w:sz w:val="20"/>
              </w:rPr>
              <w:t>Pass</w:t>
            </w:r>
          </w:p>
        </w:tc>
        <w:tc>
          <w:tcPr>
            <w:tcW w:type="dxa" w:w="2880"/>
            <w:vAlign w:val="center"/>
          </w:tcPr>
          <w:p>
            <w:r/>
            <w:r>
              <w:rPr>
                <w:sz w:val="20"/>
              </w:rPr>
              <w:t>src/middleware.ts redirects to /login with redirect param</w:t>
            </w:r>
          </w:p>
        </w:tc>
      </w:tr>
      <w:tr>
        <w:tc>
          <w:tcPr>
            <w:tcW w:type="dxa" w:w="2880"/>
            <w:vAlign w:val="center"/>
          </w:tcPr>
          <w:p>
            <w:r/>
            <w:r>
              <w:rPr>
                <w:sz w:val="20"/>
              </w:rPr>
              <w:t>Bearer token required on API routes</w:t>
            </w:r>
          </w:p>
        </w:tc>
        <w:tc>
          <w:tcPr>
            <w:tcW w:type="dxa" w:w="2880"/>
            <w:vAlign w:val="center"/>
            <w:shd w:val="clear" w:color="auto" w:fill="1F7A3C"/>
          </w:tcPr>
          <w:p>
            <w:r/>
            <w:r>
              <w:rPr>
                <w:b/>
                <w:color w:val="FFFFFF"/>
                <w:sz w:val="20"/>
              </w:rPr>
              <w:t>Pass</w:t>
            </w:r>
          </w:p>
        </w:tc>
        <w:tc>
          <w:tcPr>
            <w:tcW w:type="dxa" w:w="2880"/>
            <w:vAlign w:val="center"/>
          </w:tcPr>
          <w:p>
            <w:r/>
            <w:r>
              <w:rPr>
                <w:sz w:val="20"/>
              </w:rPr>
              <w:t>Authorization: Bearer &lt;token&gt; enforced</w:t>
            </w:r>
          </w:p>
        </w:tc>
      </w:tr>
      <w:tr>
        <w:tc>
          <w:tcPr>
            <w:tcW w:type="dxa" w:w="2880"/>
            <w:vAlign w:val="center"/>
          </w:tcPr>
          <w:p>
            <w:r/>
            <w:r>
              <w:rPr>
                <w:sz w:val="20"/>
              </w:rPr>
              <w:t>Public paths whitelisted intentionally</w:t>
            </w:r>
          </w:p>
        </w:tc>
        <w:tc>
          <w:tcPr>
            <w:tcW w:type="dxa" w:w="2880"/>
            <w:vAlign w:val="center"/>
            <w:shd w:val="clear" w:color="auto" w:fill="1F7A3C"/>
          </w:tcPr>
          <w:p>
            <w:r/>
            <w:r>
              <w:rPr>
                <w:b/>
                <w:color w:val="FFFFFF"/>
                <w:sz w:val="20"/>
              </w:rPr>
              <w:t>Pass</w:t>
            </w:r>
          </w:p>
        </w:tc>
        <w:tc>
          <w:tcPr>
            <w:tcW w:type="dxa" w:w="2880"/>
            <w:vAlign w:val="center"/>
          </w:tcPr>
          <w:p>
            <w:r/>
            <w:r>
              <w:rPr>
                <w:sz w:val="20"/>
              </w:rPr>
              <w:t>/login, /showday, /api/health, /api/leads/inbound (HMAC)</w:t>
            </w:r>
          </w:p>
        </w:tc>
      </w:tr>
    </w:tbl>
    <w:p>
      <w:pPr>
        <w:pStyle w:val="Heading2"/>
      </w:pPr>
      <w:r>
        <w:rPr>
          <w:rFonts w:ascii="Calibri" w:hAnsi="Calibri"/>
          <w:color w:val="0B2A4A"/>
        </w:rPr>
        <w:t>4.2 API Routes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0B2A4A"/>
          </w:tcPr>
          <w:p>
            <w:r/>
            <w:r>
              <w:rPr>
                <w:b/>
                <w:color w:val="FFFFFF"/>
                <w:sz w:val="20"/>
              </w:rPr>
              <w:t>Route</w:t>
            </w:r>
          </w:p>
        </w:tc>
        <w:tc>
          <w:tcPr>
            <w:tcW w:type="dxa" w:w="1728"/>
            <w:shd w:val="clear" w:color="auto" w:fill="0B2A4A"/>
          </w:tcPr>
          <w:p>
            <w:r/>
            <w:r>
              <w:rPr>
                <w:b/>
                <w:color w:val="FFFFFF"/>
                <w:sz w:val="20"/>
              </w:rPr>
              <w:t>Auth</w:t>
            </w:r>
          </w:p>
        </w:tc>
        <w:tc>
          <w:tcPr>
            <w:tcW w:type="dxa" w:w="1728"/>
            <w:shd w:val="clear" w:color="auto" w:fill="0B2A4A"/>
          </w:tcPr>
          <w:p>
            <w:r/>
            <w:r>
              <w:rPr>
                <w:b/>
                <w:color w:val="FFFFFF"/>
                <w:sz w:val="20"/>
              </w:rPr>
              <w:t>Validation</w:t>
            </w:r>
          </w:p>
        </w:tc>
        <w:tc>
          <w:tcPr>
            <w:tcW w:type="dxa" w:w="1728"/>
            <w:shd w:val="clear" w:color="auto" w:fill="0B2A4A"/>
          </w:tcPr>
          <w:p>
            <w:r/>
            <w:r>
              <w:rPr>
                <w:b/>
                <w:color w:val="FFFFFF"/>
                <w:sz w:val="20"/>
              </w:rPr>
              <w:t>Rate Limit</w:t>
            </w:r>
          </w:p>
        </w:tc>
        <w:tc>
          <w:tcPr>
            <w:tcW w:type="dxa" w:w="1728"/>
            <w:shd w:val="clear" w:color="auto" w:fill="0B2A4A"/>
          </w:tcPr>
          <w:p>
            <w:r/>
            <w:r>
              <w:rPr>
                <w:b/>
                <w:color w:val="FFFFFF"/>
                <w:sz w:val="20"/>
              </w:rPr>
              <w:t>Notes</w:t>
            </w:r>
          </w:p>
        </w:tc>
      </w:tr>
      <w:tr>
        <w:tc>
          <w:tcPr>
            <w:tcW w:type="dxa" w:w="1728"/>
            <w:vAlign w:val="center"/>
          </w:tcPr>
          <w:p>
            <w:r/>
            <w:r>
              <w:rPr>
                <w:sz w:val="20"/>
              </w:rPr>
              <w:t>GET /api/health</w:t>
            </w:r>
          </w:p>
        </w:tc>
        <w:tc>
          <w:tcPr>
            <w:tcW w:type="dxa" w:w="1728"/>
            <w:vAlign w:val="center"/>
          </w:tcPr>
          <w:p>
            <w:r/>
            <w:r>
              <w:rPr>
                <w:sz w:val="20"/>
              </w:rPr>
              <w:t>Public</w:t>
            </w:r>
          </w:p>
        </w:tc>
        <w:tc>
          <w:tcPr>
            <w:tcW w:type="dxa" w:w="1728"/>
            <w:vAlign w:val="center"/>
          </w:tcPr>
          <w:p>
            <w:r/>
            <w:r>
              <w:rPr>
                <w:sz w:val="20"/>
              </w:rPr>
              <w:t>n/a</w:t>
            </w:r>
          </w:p>
        </w:tc>
        <w:tc>
          <w:tcPr>
            <w:tcW w:type="dxa" w:w="1728"/>
            <w:vAlign w:val="center"/>
          </w:tcPr>
          <w:p>
            <w:r/>
            <w:r>
              <w:rPr>
                <w:sz w:val="20"/>
              </w:rPr>
              <w:t>None</w:t>
            </w:r>
          </w:p>
        </w:tc>
        <w:tc>
          <w:tcPr>
            <w:tcW w:type="dxa" w:w="1728"/>
            <w:vAlign w:val="center"/>
          </w:tcPr>
          <w:p>
            <w:r/>
            <w:r>
              <w:rPr>
                <w:sz w:val="20"/>
              </w:rPr>
              <w:t>Returns status; no internals leaked</w:t>
            </w:r>
          </w:p>
        </w:tc>
      </w:tr>
      <w:tr>
        <w:tc>
          <w:tcPr>
            <w:tcW w:type="dxa" w:w="1728"/>
            <w:vAlign w:val="center"/>
          </w:tcPr>
          <w:p>
            <w:r/>
            <w:r>
              <w:rPr>
                <w:sz w:val="20"/>
              </w:rPr>
              <w:t>POST /api/seed</w:t>
            </w:r>
          </w:p>
        </w:tc>
        <w:tc>
          <w:tcPr>
            <w:tcW w:type="dxa" w:w="1728"/>
            <w:vAlign w:val="center"/>
          </w:tcPr>
          <w:p>
            <w:r/>
            <w:r>
              <w:rPr>
                <w:sz w:val="20"/>
              </w:rPr>
              <w:t>Bearer</w:t>
            </w:r>
          </w:p>
        </w:tc>
        <w:tc>
          <w:tcPr>
            <w:tcW w:type="dxa" w:w="1728"/>
            <w:vAlign w:val="center"/>
          </w:tcPr>
          <w:p>
            <w:r/>
            <w:r>
              <w:rPr>
                <w:sz w:val="20"/>
              </w:rPr>
              <w:t>Enum action</w:t>
            </w:r>
          </w:p>
        </w:tc>
        <w:tc>
          <w:tcPr>
            <w:tcW w:type="dxa" w:w="1728"/>
            <w:vAlign w:val="center"/>
          </w:tcPr>
          <w:p>
            <w:r/>
            <w:r>
              <w:rPr>
                <w:sz w:val="20"/>
              </w:rPr>
              <w:t>2/min/user</w:t>
            </w:r>
          </w:p>
        </w:tc>
        <w:tc>
          <w:tcPr>
            <w:tcW w:type="dxa" w:w="1728"/>
            <w:vAlign w:val="center"/>
          </w:tcPr>
          <w:p>
            <w:r/>
            <w:r>
              <w:rPr>
                <w:sz w:val="20"/>
              </w:rPr>
              <w:t>Disabled in prod unless ALLOW_SEED=true</w:t>
            </w:r>
          </w:p>
        </w:tc>
      </w:tr>
      <w:tr>
        <w:tc>
          <w:tcPr>
            <w:tcW w:type="dxa" w:w="1728"/>
            <w:vAlign w:val="center"/>
          </w:tcPr>
          <w:p>
            <w:r/>
            <w:r>
              <w:rPr>
                <w:sz w:val="20"/>
              </w:rPr>
              <w:t>POST /api/leads/inbound</w:t>
            </w:r>
          </w:p>
        </w:tc>
        <w:tc>
          <w:tcPr>
            <w:tcW w:type="dxa" w:w="1728"/>
            <w:vAlign w:val="center"/>
          </w:tcPr>
          <w:p>
            <w:r/>
            <w:r>
              <w:rPr>
                <w:sz w:val="20"/>
              </w:rPr>
              <w:t>HMAC-SHA256</w:t>
            </w:r>
          </w:p>
        </w:tc>
        <w:tc>
          <w:tcPr>
            <w:tcW w:type="dxa" w:w="1728"/>
            <w:vAlign w:val="center"/>
          </w:tcPr>
          <w:p>
            <w:r/>
            <w:r>
              <w:rPr>
                <w:sz w:val="20"/>
              </w:rPr>
              <w:t>JSON + Firestore schema</w:t>
            </w:r>
          </w:p>
        </w:tc>
        <w:tc>
          <w:tcPr>
            <w:tcW w:type="dxa" w:w="1728"/>
            <w:vAlign w:val="center"/>
          </w:tcPr>
          <w:p>
            <w:r/>
            <w:r>
              <w:rPr>
                <w:sz w:val="20"/>
              </w:rPr>
              <w:t>None</w:t>
            </w:r>
          </w:p>
        </w:tc>
        <w:tc>
          <w:tcPr>
            <w:tcW w:type="dxa" w:w="1728"/>
            <w:vAlign w:val="center"/>
          </w:tcPr>
          <w:p>
            <w:r/>
            <w:r>
              <w:rPr>
                <w:sz w:val="20"/>
              </w:rPr>
              <w:t>Timing-safe compare; F-05 add per-source limit</w:t>
            </w:r>
          </w:p>
        </w:tc>
      </w:tr>
      <w:tr>
        <w:tc>
          <w:tcPr>
            <w:tcW w:type="dxa" w:w="1728"/>
            <w:vAlign w:val="center"/>
          </w:tcPr>
          <w:p>
            <w:r/>
            <w:r>
              <w:rPr>
                <w:sz w:val="20"/>
              </w:rPr>
              <w:t>GET /api/leads/inbound</w:t>
            </w:r>
          </w:p>
        </w:tc>
        <w:tc>
          <w:tcPr>
            <w:tcW w:type="dxa" w:w="1728"/>
            <w:vAlign w:val="center"/>
          </w:tcPr>
          <w:p>
            <w:r/>
            <w:r>
              <w:rPr>
                <w:sz w:val="20"/>
              </w:rPr>
              <w:t>Public</w:t>
            </w:r>
          </w:p>
        </w:tc>
        <w:tc>
          <w:tcPr>
            <w:tcW w:type="dxa" w:w="1728"/>
            <w:vAlign w:val="center"/>
          </w:tcPr>
          <w:p>
            <w:r/>
            <w:r>
              <w:rPr>
                <w:sz w:val="20"/>
              </w:rPr>
              <w:t>n/a</w:t>
            </w:r>
          </w:p>
        </w:tc>
        <w:tc>
          <w:tcPr>
            <w:tcW w:type="dxa" w:w="1728"/>
            <w:vAlign w:val="center"/>
          </w:tcPr>
          <w:p>
            <w:r/>
            <w:r>
              <w:rPr>
                <w:sz w:val="20"/>
              </w:rPr>
              <w:t>None</w:t>
            </w:r>
          </w:p>
        </w:tc>
        <w:tc>
          <w:tcPr>
            <w:tcW w:type="dxa" w:w="1728"/>
            <w:vAlign w:val="center"/>
          </w:tcPr>
          <w:p>
            <w:r/>
            <w:r>
              <w:rPr>
                <w:sz w:val="20"/>
              </w:rPr>
              <w:t>Returns count only; no PII</w:t>
            </w:r>
          </w:p>
        </w:tc>
      </w:tr>
      <w:tr>
        <w:tc>
          <w:tcPr>
            <w:tcW w:type="dxa" w:w="1728"/>
            <w:vAlign w:val="center"/>
          </w:tcPr>
          <w:p>
            <w:r/>
            <w:r>
              <w:rPr>
                <w:sz w:val="20"/>
              </w:rPr>
              <w:t>POST /api/sms/send</w:t>
            </w:r>
          </w:p>
        </w:tc>
        <w:tc>
          <w:tcPr>
            <w:tcW w:type="dxa" w:w="1728"/>
            <w:vAlign w:val="center"/>
          </w:tcPr>
          <w:p>
            <w:r/>
            <w:r>
              <w:rPr>
                <w:sz w:val="20"/>
              </w:rPr>
              <w:t>Bearer</w:t>
            </w:r>
          </w:p>
        </w:tc>
        <w:tc>
          <w:tcPr>
            <w:tcW w:type="dxa" w:w="1728"/>
            <w:vAlign w:val="center"/>
          </w:tcPr>
          <w:p>
            <w:r/>
            <w:r>
              <w:rPr>
                <w:sz w:val="20"/>
              </w:rPr>
              <w:t>to + body + length</w:t>
            </w:r>
          </w:p>
        </w:tc>
        <w:tc>
          <w:tcPr>
            <w:tcW w:type="dxa" w:w="1728"/>
            <w:vAlign w:val="center"/>
          </w:tcPr>
          <w:p>
            <w:r/>
            <w:r>
              <w:rPr>
                <w:sz w:val="20"/>
              </w:rPr>
              <w:t>20/min/user</w:t>
            </w:r>
          </w:p>
        </w:tc>
        <w:tc>
          <w:tcPr>
            <w:tcW w:type="dxa" w:w="1728"/>
            <w:vAlign w:val="center"/>
          </w:tcPr>
          <w:p>
            <w:r/>
            <w:r>
              <w:rPr>
                <w:sz w:val="20"/>
              </w:rPr>
              <w:t>BulkSMS creds in env; ownerId from token</w:t>
            </w:r>
          </w:p>
        </w:tc>
      </w:tr>
      <w:tr>
        <w:tc>
          <w:tcPr>
            <w:tcW w:type="dxa" w:w="1728"/>
            <w:vAlign w:val="center"/>
          </w:tcPr>
          <w:p>
            <w:r/>
            <w:r>
              <w:rPr>
                <w:sz w:val="20"/>
              </w:rPr>
              <w:t>POST /api/cma/research</w:t>
            </w:r>
          </w:p>
        </w:tc>
        <w:tc>
          <w:tcPr>
            <w:tcW w:type="dxa" w:w="1728"/>
            <w:vAlign w:val="center"/>
          </w:tcPr>
          <w:p>
            <w:r/>
            <w:r>
              <w:rPr>
                <w:sz w:val="20"/>
              </w:rPr>
              <w:t>Bearer</w:t>
            </w:r>
          </w:p>
        </w:tc>
        <w:tc>
          <w:tcPr>
            <w:tcW w:type="dxa" w:w="1728"/>
            <w:vAlign w:val="center"/>
          </w:tcPr>
          <w:p>
            <w:r/>
            <w:r>
              <w:rPr>
                <w:sz w:val="20"/>
              </w:rPr>
              <w:t>Sanitised + Zod-shaped response</w:t>
            </w:r>
          </w:p>
        </w:tc>
        <w:tc>
          <w:tcPr>
            <w:tcW w:type="dxa" w:w="1728"/>
            <w:vAlign w:val="center"/>
          </w:tcPr>
          <w:p>
            <w:r/>
            <w:r>
              <w:rPr>
                <w:sz w:val="20"/>
              </w:rPr>
              <w:t>10/min/user</w:t>
            </w:r>
          </w:p>
        </w:tc>
        <w:tc>
          <w:tcPr>
            <w:tcW w:type="dxa" w:w="1728"/>
            <w:vAlign w:val="center"/>
          </w:tcPr>
          <w:p>
            <w:r/>
            <w:r>
              <w:rPr>
                <w:sz w:val="20"/>
              </w:rPr>
              <w:t>Strips &lt;&gt;{} and newlines from Gemini prompt</w:t>
            </w:r>
          </w:p>
        </w:tc>
      </w:tr>
    </w:tbl>
    <w:p>
      <w:pPr>
        <w:pStyle w:val="Heading2"/>
      </w:pPr>
      <w:r>
        <w:rPr>
          <w:rFonts w:ascii="Calibri" w:hAnsi="Calibri"/>
          <w:color w:val="0B2A4A"/>
        </w:rPr>
        <w:t>4.3 Firestore Security Rules</w:t>
      </w:r>
    </w:p>
    <w:p>
      <w:r>
        <w:rPr>
          <w:rFonts w:ascii="Calibri" w:hAnsi="Calibri"/>
          <w:b w:val="0"/>
          <w:i w:val="0"/>
          <w:sz w:val="22"/>
        </w:rPr>
        <w:t>All 16 collections enforce owner-scoped access using helper functions isAuth(), isOwner(), and isCreatingOwn(). Authenticated reads are permitted across collections (suitable for a single-tenant CRM where each user owns their data). Two collections deviate intentionally:</w:t>
      </w:r>
    </w:p>
    <w:p>
      <w:pPr>
        <w:pStyle w:val="ListBullet"/>
      </w:pPr>
      <w:r>
        <w:rPr>
          <w:rFonts w:ascii="Calibri" w:hAnsi="Calibri"/>
          <w:sz w:val="22"/>
        </w:rPr>
        <w:t>showDays — public read so QR-code landing pages can fetch event details (F-04).</w:t>
      </w:r>
    </w:p>
    <w:p>
      <w:pPr>
        <w:pStyle w:val="ListBullet"/>
      </w:pPr>
      <w:r>
        <w:rPr>
          <w:rFonts w:ascii="Calibri" w:hAnsi="Calibri"/>
          <w:sz w:val="22"/>
        </w:rPr>
        <w:t>showDayLeads — public create with strict schema validation (max 10 keys, name/email/phone length caps, marketingConsent boolean required).</w:t>
      </w:r>
    </w:p>
    <w:p>
      <w:r>
        <w:rPr>
          <w:rFonts w:ascii="Calibri" w:hAnsi="Calibri"/>
          <w:b w:val="0"/>
          <w:i w:val="0"/>
          <w:sz w:val="22"/>
        </w:rPr>
        <w:t>No collection uses 'allow read, write: if true'. Rules apply schema-level validation on the public-write surface, which is the correct defense-in-depth approach.</w:t>
      </w:r>
    </w:p>
    <w:p>
      <w:pPr>
        <w:pStyle w:val="Heading2"/>
      </w:pPr>
      <w:r>
        <w:rPr>
          <w:rFonts w:ascii="Calibri" w:hAnsi="Calibri"/>
          <w:color w:val="0B2A4A"/>
        </w:rPr>
        <w:t>4.4 Firebase Storage Rules</w:t>
      </w:r>
    </w:p>
    <w:p>
      <w:r>
        <w:rPr>
          <w:rFonts w:ascii="Calibri" w:hAnsi="Calibri"/>
          <w:b w:val="0"/>
          <w:i w:val="0"/>
          <w:sz w:val="22"/>
        </w:rPr>
        <w:t>Finding F-03: No storage.rules file exists in the repository. Document uploads are referenced in src/app/documents/page.tsx, but the absence of an explicit rules file means access depends on whatever rules are deployed to the project — these cannot be reviewed from source. Recommend committing a rules file with owner-scoped paths and a hard size limit, e.g.:</w:t>
      </w:r>
    </w:p>
    <w:p>
      <w:r>
        <w:rPr>
          <w:rFonts w:ascii="Calibri" w:hAnsi="Calibri"/>
          <w:b w:val="0"/>
          <w:i/>
          <w:color w:val="3D4A5C"/>
          <w:sz w:val="22"/>
        </w:rPr>
        <w:t>match /documents/{userId}/{docId} { allow read, write: if request.auth.uid == userId &amp;&amp; request.resource.size &lt; 50 * 1024 * 1024; }</w:t>
      </w:r>
    </w:p>
    <w:p>
      <w:pPr>
        <w:pStyle w:val="Heading2"/>
      </w:pPr>
      <w:r>
        <w:rPr>
          <w:rFonts w:ascii="Calibri" w:hAnsi="Calibri"/>
          <w:color w:val="0B2A4A"/>
        </w:rPr>
        <w:t>4.5 Secrets &amp;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2A4A"/>
          </w:tcPr>
          <w:p>
            <w:r/>
            <w:r>
              <w:rPr>
                <w:b/>
                <w:color w:val="FFFFFF"/>
                <w:sz w:val="20"/>
              </w:rPr>
              <w:t>Control</w:t>
            </w:r>
          </w:p>
        </w:tc>
        <w:tc>
          <w:tcPr>
            <w:tcW w:type="dxa" w:w="2880"/>
            <w:shd w:val="clear" w:color="auto" w:fill="0B2A4A"/>
          </w:tcPr>
          <w:p>
            <w:r/>
            <w:r>
              <w:rPr>
                <w:b/>
                <w:color w:val="FFFFFF"/>
                <w:sz w:val="20"/>
              </w:rPr>
              <w:t>Status</w:t>
            </w:r>
          </w:p>
        </w:tc>
        <w:tc>
          <w:tcPr>
            <w:tcW w:type="dxa" w:w="2880"/>
            <w:shd w:val="clear" w:color="auto" w:fill="0B2A4A"/>
          </w:tcPr>
          <w:p>
            <w:r/>
            <w:r>
              <w:rPr>
                <w:b/>
                <w:color w:val="FFFFFF"/>
                <w:sz w:val="20"/>
              </w:rPr>
              <w:t>Notes</w:t>
            </w:r>
          </w:p>
        </w:tc>
      </w:tr>
      <w:tr>
        <w:tc>
          <w:tcPr>
            <w:tcW w:type="dxa" w:w="2880"/>
            <w:vAlign w:val="center"/>
          </w:tcPr>
          <w:p>
            <w:r/>
            <w:r>
              <w:rPr>
                <w:sz w:val="20"/>
              </w:rPr>
              <w:t>Server secrets via Cloud Secret Manager</w:t>
            </w:r>
          </w:p>
        </w:tc>
        <w:tc>
          <w:tcPr>
            <w:tcW w:type="dxa" w:w="2880"/>
            <w:vAlign w:val="center"/>
            <w:shd w:val="clear" w:color="auto" w:fill="1F7A3C"/>
          </w:tcPr>
          <w:p>
            <w:r/>
            <w:r>
              <w:rPr>
                <w:b/>
                <w:color w:val="FFFFFF"/>
                <w:sz w:val="20"/>
              </w:rPr>
              <w:t>Pass</w:t>
            </w:r>
          </w:p>
        </w:tc>
        <w:tc>
          <w:tcPr>
            <w:tcW w:type="dxa" w:w="2880"/>
            <w:vAlign w:val="center"/>
          </w:tcPr>
          <w:p>
            <w:r/>
            <w:r>
              <w:rPr>
                <w:sz w:val="20"/>
              </w:rPr>
              <w:t>GEMINI_API_KEY referenced as 'secret:' in apphosting.yaml</w:t>
            </w:r>
          </w:p>
        </w:tc>
      </w:tr>
      <w:tr>
        <w:tc>
          <w:tcPr>
            <w:tcW w:type="dxa" w:w="2880"/>
            <w:vAlign w:val="center"/>
          </w:tcPr>
          <w:p>
            <w:r/>
            <w:r>
              <w:rPr>
                <w:sz w:val="20"/>
              </w:rPr>
              <w:t>.env*.local in .gitignore</w:t>
            </w:r>
          </w:p>
        </w:tc>
        <w:tc>
          <w:tcPr>
            <w:tcW w:type="dxa" w:w="2880"/>
            <w:vAlign w:val="center"/>
            <w:shd w:val="clear" w:color="auto" w:fill="1F7A3C"/>
          </w:tcPr>
          <w:p>
            <w:r/>
            <w:r>
              <w:rPr>
                <w:b/>
                <w:color w:val="FFFFFF"/>
                <w:sz w:val="20"/>
              </w:rPr>
              <w:t>Pass</w:t>
            </w:r>
          </w:p>
        </w:tc>
        <w:tc>
          <w:tcPr>
            <w:tcW w:type="dxa" w:w="2880"/>
            <w:vAlign w:val="center"/>
          </w:tcPr>
          <w:p>
            <w:r/>
            <w:r>
              <w:rPr>
                <w:sz w:val="20"/>
              </w:rPr>
              <w:t>Confirmed at .gitignore line 27</w:t>
            </w:r>
          </w:p>
        </w:tc>
      </w:tr>
      <w:tr>
        <w:tc>
          <w:tcPr>
            <w:tcW w:type="dxa" w:w="2880"/>
            <w:vAlign w:val="center"/>
          </w:tcPr>
          <w:p>
            <w:r/>
            <w:r>
              <w:rPr>
                <w:sz w:val="20"/>
              </w:rPr>
              <w:t>No service-account JSON committed</w:t>
            </w:r>
          </w:p>
        </w:tc>
        <w:tc>
          <w:tcPr>
            <w:tcW w:type="dxa" w:w="2880"/>
            <w:vAlign w:val="center"/>
            <w:shd w:val="clear" w:color="auto" w:fill="1F7A3C"/>
          </w:tcPr>
          <w:p>
            <w:r/>
            <w:r>
              <w:rPr>
                <w:b/>
                <w:color w:val="FFFFFF"/>
                <w:sz w:val="20"/>
              </w:rPr>
              <w:t>Pass</w:t>
            </w:r>
          </w:p>
        </w:tc>
        <w:tc>
          <w:tcPr>
            <w:tcW w:type="dxa" w:w="2880"/>
            <w:vAlign w:val="center"/>
          </w:tcPr>
          <w:p>
            <w:r/>
            <w:r>
              <w:rPr>
                <w:sz w:val="20"/>
              </w:rPr>
              <w:t>Only example placeholder in .env.local.example</w:t>
            </w:r>
          </w:p>
        </w:tc>
      </w:tr>
      <w:tr>
        <w:tc>
          <w:tcPr>
            <w:tcW w:type="dxa" w:w="2880"/>
            <w:vAlign w:val="center"/>
          </w:tcPr>
          <w:p>
            <w:r/>
            <w:r>
              <w:rPr>
                <w:sz w:val="20"/>
              </w:rPr>
              <w:t>NEXT_PUBLIC_* variables limited to safe public config</w:t>
            </w:r>
          </w:p>
        </w:tc>
        <w:tc>
          <w:tcPr>
            <w:tcW w:type="dxa" w:w="2880"/>
            <w:vAlign w:val="center"/>
            <w:shd w:val="clear" w:color="auto" w:fill="1F7A3C"/>
          </w:tcPr>
          <w:p>
            <w:r/>
            <w:r>
              <w:rPr>
                <w:b/>
                <w:color w:val="FFFFFF"/>
                <w:sz w:val="20"/>
              </w:rPr>
              <w:t>Pass</w:t>
            </w:r>
          </w:p>
        </w:tc>
        <w:tc>
          <w:tcPr>
            <w:tcW w:type="dxa" w:w="2880"/>
            <w:vAlign w:val="center"/>
          </w:tcPr>
          <w:p>
            <w:r/>
            <w:r>
              <w:rPr>
                <w:sz w:val="20"/>
              </w:rPr>
              <w:t>Firebase client SDK config is public by design</w:t>
            </w:r>
          </w:p>
        </w:tc>
      </w:tr>
      <w:tr>
        <w:tc>
          <w:tcPr>
            <w:tcW w:type="dxa" w:w="2880"/>
            <w:vAlign w:val="center"/>
          </w:tcPr>
          <w:p>
            <w:r/>
            <w:r>
              <w:rPr>
                <w:sz w:val="20"/>
              </w:rPr>
              <w:t>BULKSMS / INBOUND_WEBHOOK_SECRET documented</w:t>
            </w:r>
          </w:p>
        </w:tc>
        <w:tc>
          <w:tcPr>
            <w:tcW w:type="dxa" w:w="2880"/>
            <w:vAlign w:val="center"/>
            <w:shd w:val="clear" w:color="auto" w:fill="C17A00"/>
          </w:tcPr>
          <w:p>
            <w:r/>
            <w:r>
              <w:rPr>
                <w:b/>
                <w:color w:val="FFFFFF"/>
                <w:sz w:val="20"/>
              </w:rPr>
              <w:t>Partial</w:t>
            </w:r>
          </w:p>
        </w:tc>
        <w:tc>
          <w:tcPr>
            <w:tcW w:type="dxa" w:w="2880"/>
            <w:vAlign w:val="center"/>
          </w:tcPr>
          <w:p>
            <w:r/>
            <w:r>
              <w:rPr>
                <w:sz w:val="20"/>
              </w:rPr>
              <w:t>Required env vars should be enumerated in README</w:t>
            </w:r>
          </w:p>
        </w:tc>
      </w:tr>
    </w:tbl>
    <w:p>
      <w:pPr>
        <w:pStyle w:val="Heading2"/>
      </w:pPr>
      <w:r>
        <w:rPr>
          <w:rFonts w:ascii="Calibri" w:hAnsi="Calibri"/>
          <w:color w:val="0B2A4A"/>
        </w:rPr>
        <w:t>4.6 Input Validation &amp; Injection</w:t>
      </w:r>
    </w:p>
    <w:p>
      <w:pPr>
        <w:pStyle w:val="ListBullet"/>
      </w:pPr>
      <w:r>
        <w:rPr>
          <w:rFonts w:ascii="Calibri" w:hAnsi="Calibri"/>
          <w:sz w:val="22"/>
        </w:rPr>
        <w:t>All entities defined with Zod schemas in src/lib/schemas.ts; parseDoc() validates Firestore documents at the boundary.</w:t>
      </w:r>
    </w:p>
    <w:p>
      <w:pPr>
        <w:pStyle w:val="ListBullet"/>
      </w:pPr>
      <w:r>
        <w:rPr>
          <w:rFonts w:ascii="Calibri" w:hAnsi="Calibri"/>
          <w:sz w:val="22"/>
        </w:rPr>
        <w:t>Webhook payload validated by code AND Firestore rules (defense in depth).</w:t>
      </w:r>
    </w:p>
    <w:p>
      <w:pPr>
        <w:pStyle w:val="ListBullet"/>
      </w:pPr>
      <w:r>
        <w:rPr>
          <w:rFonts w:ascii="Calibri" w:hAnsi="Calibri"/>
          <w:sz w:val="22"/>
        </w:rPr>
        <w:t>CMA Gemini prompt sanitises &lt;, &gt;, {, }, \r, \n and length-caps fields before interpolation — mitigates prompt injection.</w:t>
      </w:r>
    </w:p>
    <w:p>
      <w:pPr>
        <w:pStyle w:val="ListBullet"/>
      </w:pPr>
      <w:r>
        <w:rPr>
          <w:rFonts w:ascii="Calibri" w:hAnsi="Calibri"/>
          <w:sz w:val="22"/>
        </w:rPr>
        <w:t>No dangerouslySetInnerHTML usage anywhere in the codebase.</w:t>
      </w:r>
    </w:p>
    <w:p>
      <w:pPr>
        <w:pStyle w:val="ListBullet"/>
      </w:pPr>
      <w:r>
        <w:rPr>
          <w:rFonts w:ascii="Calibri" w:hAnsi="Calibri"/>
          <w:sz w:val="22"/>
        </w:rPr>
        <w:t>No raw SQL/NoSQL string interpolation; all Firestore queries use the typed SDK.</w:t>
      </w:r>
    </w:p>
    <w:p>
      <w:pPr>
        <w:pStyle w:val="Heading2"/>
      </w:pPr>
      <w:r>
        <w:rPr>
          <w:rFonts w:ascii="Calibri" w:hAnsi="Calibri"/>
          <w:color w:val="0B2A4A"/>
        </w:rPr>
        <w:t>4.7 CSRF &amp; CORS</w:t>
      </w:r>
    </w:p>
    <w:p>
      <w:pPr>
        <w:pStyle w:val="ListBullet"/>
      </w:pPr>
      <w:r>
        <w:rPr>
          <w:rFonts w:ascii="Calibri" w:hAnsi="Calibri"/>
          <w:sz w:val="22"/>
        </w:rPr>
        <w:t>SameSite=Lax cookie + Bearer-token API authentication provide CSRF protection.</w:t>
      </w:r>
    </w:p>
    <w:p>
      <w:pPr>
        <w:pStyle w:val="ListBullet"/>
      </w:pPr>
      <w:r>
        <w:rPr>
          <w:rFonts w:ascii="Calibri" w:hAnsi="Calibri"/>
          <w:sz w:val="22"/>
        </w:rPr>
        <w:t>No state-changing GET endpoints identified.</w:t>
      </w:r>
    </w:p>
    <w:p>
      <w:pPr>
        <w:pStyle w:val="ListBullet"/>
      </w:pPr>
      <w:r>
        <w:rPr>
          <w:rFonts w:ascii="Calibri" w:hAnsi="Calibri"/>
          <w:sz w:val="22"/>
        </w:rPr>
        <w:t>No permissive CORS headers configured (correct — single-origin app).</w:t>
      </w:r>
    </w:p>
    <w:p>
      <w:pPr>
        <w:pStyle w:val="Heading2"/>
      </w:pPr>
      <w:r>
        <w:rPr>
          <w:rFonts w:ascii="Calibri" w:hAnsi="Calibri"/>
          <w:color w:val="0B2A4A"/>
        </w:rPr>
        <w:t>4.8 Security Headers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2A4A"/>
          </w:tcPr>
          <w:p>
            <w:r/>
            <w:r>
              <w:rPr>
                <w:b/>
                <w:color w:val="FFFFFF"/>
                <w:sz w:val="20"/>
              </w:rPr>
              <w:t>Header</w:t>
            </w:r>
          </w:p>
        </w:tc>
        <w:tc>
          <w:tcPr>
            <w:tcW w:type="dxa" w:w="2880"/>
            <w:shd w:val="clear" w:color="auto" w:fill="0B2A4A"/>
          </w:tcPr>
          <w:p>
            <w:r/>
            <w:r>
              <w:rPr>
                <w:b/>
                <w:color w:val="FFFFFF"/>
                <w:sz w:val="20"/>
              </w:rPr>
              <w:t>Value</w:t>
            </w:r>
          </w:p>
        </w:tc>
        <w:tc>
          <w:tcPr>
            <w:tcW w:type="dxa" w:w="2880"/>
            <w:shd w:val="clear" w:color="auto" w:fill="0B2A4A"/>
          </w:tcPr>
          <w:p>
            <w:r/>
            <w:r>
              <w:rPr>
                <w:b/>
                <w:color w:val="FFFFFF"/>
                <w:sz w:val="20"/>
              </w:rPr>
              <w:t>Status</w:t>
            </w:r>
          </w:p>
        </w:tc>
      </w:tr>
      <w:tr>
        <w:tc>
          <w:tcPr>
            <w:tcW w:type="dxa" w:w="2880"/>
            <w:vAlign w:val="center"/>
          </w:tcPr>
          <w:p>
            <w:r/>
            <w:r>
              <w:rPr>
                <w:sz w:val="20"/>
              </w:rPr>
              <w:t>Strict-Transport-Security</w:t>
            </w:r>
          </w:p>
        </w:tc>
        <w:tc>
          <w:tcPr>
            <w:tcW w:type="dxa" w:w="2880"/>
            <w:vAlign w:val="center"/>
          </w:tcPr>
          <w:p>
            <w:r/>
            <w:r>
              <w:rPr>
                <w:sz w:val="20"/>
              </w:rPr>
              <w:t>max-age=63072000; includeSubDomains; preload</w:t>
            </w:r>
          </w:p>
        </w:tc>
        <w:tc>
          <w:tcPr>
            <w:tcW w:type="dxa" w:w="2880"/>
            <w:vAlign w:val="center"/>
            <w:shd w:val="clear" w:color="auto" w:fill="1F7A3C"/>
          </w:tcPr>
          <w:p>
            <w:r/>
            <w:r>
              <w:rPr>
                <w:b/>
                <w:color w:val="FFFFFF"/>
                <w:sz w:val="20"/>
              </w:rPr>
              <w:t>Pass</w:t>
            </w:r>
          </w:p>
        </w:tc>
      </w:tr>
      <w:tr>
        <w:tc>
          <w:tcPr>
            <w:tcW w:type="dxa" w:w="2880"/>
            <w:vAlign w:val="center"/>
          </w:tcPr>
          <w:p>
            <w:r/>
            <w:r>
              <w:rPr>
                <w:sz w:val="20"/>
              </w:rPr>
              <w:t>X-Frame-Options</w:t>
            </w:r>
          </w:p>
        </w:tc>
        <w:tc>
          <w:tcPr>
            <w:tcW w:type="dxa" w:w="2880"/>
            <w:vAlign w:val="center"/>
          </w:tcPr>
          <w:p>
            <w:r/>
            <w:r>
              <w:rPr>
                <w:sz w:val="20"/>
              </w:rPr>
              <w:t>DENY</w:t>
            </w:r>
          </w:p>
        </w:tc>
        <w:tc>
          <w:tcPr>
            <w:tcW w:type="dxa" w:w="2880"/>
            <w:vAlign w:val="center"/>
            <w:shd w:val="clear" w:color="auto" w:fill="1F7A3C"/>
          </w:tcPr>
          <w:p>
            <w:r/>
            <w:r>
              <w:rPr>
                <w:b/>
                <w:color w:val="FFFFFF"/>
                <w:sz w:val="20"/>
              </w:rPr>
              <w:t>Pass</w:t>
            </w:r>
          </w:p>
        </w:tc>
      </w:tr>
      <w:tr>
        <w:tc>
          <w:tcPr>
            <w:tcW w:type="dxa" w:w="2880"/>
            <w:vAlign w:val="center"/>
          </w:tcPr>
          <w:p>
            <w:r/>
            <w:r>
              <w:rPr>
                <w:sz w:val="20"/>
              </w:rPr>
              <w:t>X-Content-Type-Options</w:t>
            </w:r>
          </w:p>
        </w:tc>
        <w:tc>
          <w:tcPr>
            <w:tcW w:type="dxa" w:w="2880"/>
            <w:vAlign w:val="center"/>
          </w:tcPr>
          <w:p>
            <w:r/>
            <w:r>
              <w:rPr>
                <w:sz w:val="20"/>
              </w:rPr>
              <w:t>nosniff</w:t>
            </w:r>
          </w:p>
        </w:tc>
        <w:tc>
          <w:tcPr>
            <w:tcW w:type="dxa" w:w="2880"/>
            <w:vAlign w:val="center"/>
            <w:shd w:val="clear" w:color="auto" w:fill="1F7A3C"/>
          </w:tcPr>
          <w:p>
            <w:r/>
            <w:r>
              <w:rPr>
                <w:b/>
                <w:color w:val="FFFFFF"/>
                <w:sz w:val="20"/>
              </w:rPr>
              <w:t>Pass</w:t>
            </w:r>
          </w:p>
        </w:tc>
      </w:tr>
      <w:tr>
        <w:tc>
          <w:tcPr>
            <w:tcW w:type="dxa" w:w="2880"/>
            <w:vAlign w:val="center"/>
          </w:tcPr>
          <w:p>
            <w:r/>
            <w:r>
              <w:rPr>
                <w:sz w:val="20"/>
              </w:rPr>
              <w:t>Referrer-Policy</w:t>
            </w:r>
          </w:p>
        </w:tc>
        <w:tc>
          <w:tcPr>
            <w:tcW w:type="dxa" w:w="2880"/>
            <w:vAlign w:val="center"/>
          </w:tcPr>
          <w:p>
            <w:r/>
            <w:r>
              <w:rPr>
                <w:sz w:val="20"/>
              </w:rPr>
              <w:t>strict-origin-when-cross-origin</w:t>
            </w:r>
          </w:p>
        </w:tc>
        <w:tc>
          <w:tcPr>
            <w:tcW w:type="dxa" w:w="2880"/>
            <w:vAlign w:val="center"/>
            <w:shd w:val="clear" w:color="auto" w:fill="1F7A3C"/>
          </w:tcPr>
          <w:p>
            <w:r/>
            <w:r>
              <w:rPr>
                <w:b/>
                <w:color w:val="FFFFFF"/>
                <w:sz w:val="20"/>
              </w:rPr>
              <w:t>Pass</w:t>
            </w:r>
          </w:p>
        </w:tc>
      </w:tr>
      <w:tr>
        <w:tc>
          <w:tcPr>
            <w:tcW w:type="dxa" w:w="2880"/>
            <w:vAlign w:val="center"/>
          </w:tcPr>
          <w:p>
            <w:r/>
            <w:r>
              <w:rPr>
                <w:sz w:val="20"/>
              </w:rPr>
              <w:t>Permissions-Policy</w:t>
            </w:r>
          </w:p>
        </w:tc>
        <w:tc>
          <w:tcPr>
            <w:tcW w:type="dxa" w:w="2880"/>
            <w:vAlign w:val="center"/>
          </w:tcPr>
          <w:p>
            <w:r/>
            <w:r>
              <w:rPr>
                <w:sz w:val="20"/>
              </w:rPr>
              <w:t>camera=(), microphone=(), geolocation=()</w:t>
            </w:r>
          </w:p>
        </w:tc>
        <w:tc>
          <w:tcPr>
            <w:tcW w:type="dxa" w:w="2880"/>
            <w:vAlign w:val="center"/>
            <w:shd w:val="clear" w:color="auto" w:fill="1F7A3C"/>
          </w:tcPr>
          <w:p>
            <w:r/>
            <w:r>
              <w:rPr>
                <w:b/>
                <w:color w:val="FFFFFF"/>
                <w:sz w:val="20"/>
              </w:rPr>
              <w:t>Pass</w:t>
            </w:r>
          </w:p>
        </w:tc>
      </w:tr>
      <w:tr>
        <w:tc>
          <w:tcPr>
            <w:tcW w:type="dxa" w:w="2880"/>
            <w:vAlign w:val="center"/>
          </w:tcPr>
          <w:p>
            <w:r/>
            <w:r>
              <w:rPr>
                <w:sz w:val="20"/>
              </w:rPr>
              <w:t>Content-Security-Policy-Report-Only</w:t>
            </w:r>
          </w:p>
        </w:tc>
        <w:tc>
          <w:tcPr>
            <w:tcW w:type="dxa" w:w="2880"/>
            <w:vAlign w:val="center"/>
          </w:tcPr>
          <w:p>
            <w:r/>
            <w:r>
              <w:rPr>
                <w:sz w:val="20"/>
              </w:rPr>
              <w:t>shipped (covers Firebase + Sentry + Google Auth)</w:t>
            </w:r>
          </w:p>
        </w:tc>
        <w:tc>
          <w:tcPr>
            <w:tcW w:type="dxa" w:w="2880"/>
            <w:vAlign w:val="center"/>
            <w:shd w:val="clear" w:color="auto" w:fill="C17A00"/>
          </w:tcPr>
          <w:p>
            <w:r/>
            <w:r>
              <w:rPr>
                <w:b/>
                <w:color w:val="FFFFFF"/>
                <w:sz w:val="20"/>
              </w:rPr>
              <w:t>Partial</w:t>
            </w:r>
          </w:p>
        </w:tc>
      </w:tr>
      <w:tr>
        <w:tc>
          <w:tcPr>
            <w:tcW w:type="dxa" w:w="2880"/>
            <w:vAlign w:val="center"/>
          </w:tcPr>
          <w:p>
            <w:r/>
            <w:r>
              <w:rPr>
                <w:sz w:val="20"/>
              </w:rPr>
              <w:t>Content-Security-Policy (enforcing)</w:t>
            </w:r>
          </w:p>
        </w:tc>
        <w:tc>
          <w:tcPr>
            <w:tcW w:type="dxa" w:w="2880"/>
            <w:vAlign w:val="center"/>
          </w:tcPr>
          <w:p>
            <w:r/>
            <w:r>
              <w:rPr>
                <w:sz w:val="20"/>
              </w:rPr>
              <w:t>pending preview soak</w:t>
            </w:r>
          </w:p>
        </w:tc>
        <w:tc>
          <w:tcPr>
            <w:tcW w:type="dxa" w:w="2880"/>
            <w:vAlign w:val="center"/>
            <w:shd w:val="clear" w:color="auto" w:fill="B41E1E"/>
          </w:tcPr>
          <w:p>
            <w:r/>
            <w:r>
              <w:rPr>
                <w:b/>
                <w:color w:val="FFFFFF"/>
                <w:sz w:val="20"/>
              </w:rPr>
              <w:t>Fail</w:t>
            </w:r>
          </w:p>
        </w:tc>
      </w:tr>
    </w:tbl>
    <w:p>
      <w:r>
        <w:rPr>
          <w:rFonts w:ascii="Calibri" w:hAnsi="Calibri"/>
          <w:b w:val="0"/>
          <w:i w:val="0"/>
          <w:sz w:val="22"/>
        </w:rPr>
        <w:t>F-02 partially closed. The full report-only policy below is currently shipping. Once 24-48 h of preview-channel traffic is clean of violations in browser console / Sentry, flip the header key from Content-Security-Policy-Report-Only to Content-Security-Policy.</w:t>
      </w:r>
    </w:p>
    <w:p>
      <w:r>
        <w:rPr>
          <w:rFonts w:ascii="Calibri" w:hAnsi="Calibri"/>
          <w:b w:val="0"/>
          <w:i/>
          <w:color w:val="3D4A5C"/>
          <w:sz w:val="22"/>
        </w:rPr>
        <w:t>default-src 'self'; script-src 'self'; style-src 'self' 'unsafe-inline'; img-src 'self' data: https:; font-src 'self' data:; connect-src 'self' https://*.googleapis.com https://*.firebaseio.com https://firestore.googleapis.com https://identitytoolkit.googleapis.com https://securetoken.googleapis.com https://*.ingest.sentry.io; frame-ancestors 'none'; base-uri 'self'; form-action 'self'</w:t>
      </w:r>
    </w:p>
    <w:p>
      <w:pPr>
        <w:pStyle w:val="Heading2"/>
      </w:pPr>
      <w:r>
        <w:rPr>
          <w:rFonts w:ascii="Calibri" w:hAnsi="Calibri"/>
          <w:color w:val="0B2A4A"/>
        </w:rPr>
        <w:t>4.9 Rate Limiting</w:t>
      </w:r>
    </w:p>
    <w:p>
      <w:r>
        <w:rPr>
          <w:rFonts w:ascii="Calibri" w:hAnsi="Calibri"/>
          <w:b w:val="0"/>
          <w:i w:val="0"/>
          <w:sz w:val="22"/>
        </w:rPr>
        <w:t>F-01 closed in this release. src/lib/rate-limit.ts now performs an atomic adminDb.runTransaction against documents in a new rateLimits collection, keyed `${bucket}:${key}:${windowStart}` with a Timestamp expiresAt field. The same exported limiter API is preserved (smsLimiter, cmaLimiter, seedLimiter) plus a new inboundLimiter (60/min) used by the inbound webhook. The limiter fails open on Firestore errors — see NEW-01.</w:t>
      </w:r>
    </w:p>
    <w:p>
      <w:r>
        <w:rPr>
          <w:rFonts w:ascii="Calibri" w:hAnsi="Calibri"/>
          <w:b/>
          <w:i w:val="0"/>
          <w:color w:val="C17A00"/>
          <w:sz w:val="22"/>
        </w:rPr>
        <w:t>Pre-deploy action (NEW-02): enable the Firestore TTL delete policy on rateLimits.expiresAt via the Firebase console. Without it, the collection grows unbounded — roughly one document per (bucket, key, window) tuple.</w:t>
      </w:r>
    </w:p>
    <w:p>
      <w:r>
        <w:rPr>
          <w:rFonts w:ascii="Calibri" w:hAnsi="Calibri"/>
          <w:b w:val="0"/>
          <w:i/>
          <w:color w:val="555F6D"/>
          <w:sz w:val="22"/>
        </w:rPr>
        <w:t>Latency cost is one Firestore round-trip per check (~30-80 ms in africa-south1). Acceptable on the SMS, CMA, seed and inbound endpoints, none of which are latency-sensitive.</w:t>
      </w:r>
    </w:p>
    <w:p>
      <w:pPr>
        <w:pStyle w:val="Heading2"/>
      </w:pPr>
      <w:r>
        <w:rPr>
          <w:rFonts w:ascii="Calibri" w:hAnsi="Calibri"/>
          <w:color w:val="0B2A4A"/>
        </w:rPr>
        <w:t>4.10 Third-Party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2A4A"/>
          </w:tcPr>
          <w:p>
            <w:r/>
            <w:r>
              <w:rPr>
                <w:b/>
                <w:color w:val="FFFFFF"/>
                <w:sz w:val="20"/>
              </w:rPr>
              <w:t>Package</w:t>
            </w:r>
          </w:p>
        </w:tc>
        <w:tc>
          <w:tcPr>
            <w:tcW w:type="dxa" w:w="2880"/>
            <w:shd w:val="clear" w:color="auto" w:fill="0B2A4A"/>
          </w:tcPr>
          <w:p>
            <w:r/>
            <w:r>
              <w:rPr>
                <w:b/>
                <w:color w:val="FFFFFF"/>
                <w:sz w:val="20"/>
              </w:rPr>
              <w:t>Version</w:t>
            </w:r>
          </w:p>
        </w:tc>
        <w:tc>
          <w:tcPr>
            <w:tcW w:type="dxa" w:w="2880"/>
            <w:shd w:val="clear" w:color="auto" w:fill="0B2A4A"/>
          </w:tcPr>
          <w:p>
            <w:r/>
            <w:r>
              <w:rPr>
                <w:b/>
                <w:color w:val="FFFFFF"/>
                <w:sz w:val="20"/>
              </w:rPr>
              <w:t>Notes</w:t>
            </w:r>
          </w:p>
        </w:tc>
      </w:tr>
      <w:tr>
        <w:tc>
          <w:tcPr>
            <w:tcW w:type="dxa" w:w="2880"/>
            <w:vAlign w:val="center"/>
          </w:tcPr>
          <w:p>
            <w:r/>
            <w:r>
              <w:rPr>
                <w:sz w:val="20"/>
              </w:rPr>
              <w:t>next</w:t>
            </w:r>
          </w:p>
        </w:tc>
        <w:tc>
          <w:tcPr>
            <w:tcW w:type="dxa" w:w="2880"/>
            <w:vAlign w:val="center"/>
          </w:tcPr>
          <w:p>
            <w:r/>
            <w:r>
              <w:rPr>
                <w:sz w:val="20"/>
              </w:rPr>
              <w:t>^15.1.0</w:t>
            </w:r>
          </w:p>
        </w:tc>
        <w:tc>
          <w:tcPr>
            <w:tcW w:type="dxa" w:w="2880"/>
            <w:vAlign w:val="center"/>
          </w:tcPr>
          <w:p>
            <w:r/>
            <w:r>
              <w:rPr>
                <w:sz w:val="20"/>
              </w:rPr>
              <w:t>Current major; receives security patches</w:t>
            </w:r>
          </w:p>
        </w:tc>
      </w:tr>
      <w:tr>
        <w:tc>
          <w:tcPr>
            <w:tcW w:type="dxa" w:w="2880"/>
            <w:vAlign w:val="center"/>
          </w:tcPr>
          <w:p>
            <w:r/>
            <w:r>
              <w:rPr>
                <w:sz w:val="20"/>
              </w:rPr>
              <w:t>firebase</w:t>
            </w:r>
          </w:p>
        </w:tc>
        <w:tc>
          <w:tcPr>
            <w:tcW w:type="dxa" w:w="2880"/>
            <w:vAlign w:val="center"/>
          </w:tcPr>
          <w:p>
            <w:r/>
            <w:r>
              <w:rPr>
                <w:sz w:val="20"/>
              </w:rPr>
              <w:t>^11.10.0</w:t>
            </w:r>
          </w:p>
        </w:tc>
        <w:tc>
          <w:tcPr>
            <w:tcW w:type="dxa" w:w="2880"/>
            <w:vAlign w:val="center"/>
          </w:tcPr>
          <w:p>
            <w:r/>
            <w:r>
              <w:rPr>
                <w:sz w:val="20"/>
              </w:rPr>
              <w:t>Current major</w:t>
            </w:r>
          </w:p>
        </w:tc>
      </w:tr>
      <w:tr>
        <w:tc>
          <w:tcPr>
            <w:tcW w:type="dxa" w:w="2880"/>
            <w:vAlign w:val="center"/>
          </w:tcPr>
          <w:p>
            <w:r/>
            <w:r>
              <w:rPr>
                <w:sz w:val="20"/>
              </w:rPr>
              <w:t>firebase-admin</w:t>
            </w:r>
          </w:p>
        </w:tc>
        <w:tc>
          <w:tcPr>
            <w:tcW w:type="dxa" w:w="2880"/>
            <w:vAlign w:val="center"/>
          </w:tcPr>
          <w:p>
            <w:r/>
            <w:r>
              <w:rPr>
                <w:sz w:val="20"/>
              </w:rPr>
              <w:t>^13.8.0</w:t>
            </w:r>
          </w:p>
        </w:tc>
        <w:tc>
          <w:tcPr>
            <w:tcW w:type="dxa" w:w="2880"/>
            <w:vAlign w:val="center"/>
          </w:tcPr>
          <w:p>
            <w:r/>
            <w:r>
              <w:rPr>
                <w:sz w:val="20"/>
              </w:rPr>
              <w:t>Current major</w:t>
            </w:r>
          </w:p>
        </w:tc>
      </w:tr>
      <w:tr>
        <w:tc>
          <w:tcPr>
            <w:tcW w:type="dxa" w:w="2880"/>
            <w:vAlign w:val="center"/>
          </w:tcPr>
          <w:p>
            <w:r/>
            <w:r>
              <w:rPr>
                <w:sz w:val="20"/>
              </w:rPr>
              <w:t>react</w:t>
            </w:r>
          </w:p>
        </w:tc>
        <w:tc>
          <w:tcPr>
            <w:tcW w:type="dxa" w:w="2880"/>
            <w:vAlign w:val="center"/>
          </w:tcPr>
          <w:p>
            <w:r/>
            <w:r>
              <w:rPr>
                <w:sz w:val="20"/>
              </w:rPr>
              <w:t>^19.0.0</w:t>
            </w:r>
          </w:p>
        </w:tc>
        <w:tc>
          <w:tcPr>
            <w:tcW w:type="dxa" w:w="2880"/>
            <w:vAlign w:val="center"/>
          </w:tcPr>
          <w:p>
            <w:r/>
            <w:r>
              <w:rPr>
                <w:sz w:val="20"/>
              </w:rPr>
              <w:t>Current major</w:t>
            </w:r>
          </w:p>
        </w:tc>
      </w:tr>
      <w:tr>
        <w:tc>
          <w:tcPr>
            <w:tcW w:type="dxa" w:w="2880"/>
            <w:vAlign w:val="center"/>
          </w:tcPr>
          <w:p>
            <w:r/>
            <w:r>
              <w:rPr>
                <w:sz w:val="20"/>
              </w:rPr>
              <w:t>zod</w:t>
            </w:r>
          </w:p>
        </w:tc>
        <w:tc>
          <w:tcPr>
            <w:tcW w:type="dxa" w:w="2880"/>
            <w:vAlign w:val="center"/>
          </w:tcPr>
          <w:p>
            <w:r/>
            <w:r>
              <w:rPr>
                <w:sz w:val="20"/>
              </w:rPr>
              <w:t>^4.3.6</w:t>
            </w:r>
          </w:p>
        </w:tc>
        <w:tc>
          <w:tcPr>
            <w:tcW w:type="dxa" w:w="2880"/>
            <w:vAlign w:val="center"/>
          </w:tcPr>
          <w:p>
            <w:r/>
            <w:r>
              <w:rPr>
                <w:sz w:val="20"/>
              </w:rPr>
              <w:t>Current major</w:t>
            </w:r>
          </w:p>
        </w:tc>
      </w:tr>
      <w:tr>
        <w:tc>
          <w:tcPr>
            <w:tcW w:type="dxa" w:w="2880"/>
            <w:vAlign w:val="center"/>
          </w:tcPr>
          <w:p>
            <w:r/>
            <w:r>
              <w:rPr>
                <w:sz w:val="20"/>
              </w:rPr>
              <w:t>@sentry/nextjs</w:t>
            </w:r>
          </w:p>
        </w:tc>
        <w:tc>
          <w:tcPr>
            <w:tcW w:type="dxa" w:w="2880"/>
            <w:vAlign w:val="center"/>
          </w:tcPr>
          <w:p>
            <w:r/>
            <w:r>
              <w:rPr>
                <w:sz w:val="20"/>
              </w:rPr>
              <w:t>^10.49.0</w:t>
            </w:r>
          </w:p>
        </w:tc>
        <w:tc>
          <w:tcPr>
            <w:tcW w:type="dxa" w:w="2880"/>
            <w:vAlign w:val="center"/>
          </w:tcPr>
          <w:p>
            <w:r/>
            <w:r>
              <w:rPr>
                <w:sz w:val="20"/>
              </w:rPr>
              <w:t>Recent</w:t>
            </w:r>
          </w:p>
        </w:tc>
      </w:tr>
      <w:tr>
        <w:tc>
          <w:tcPr>
            <w:tcW w:type="dxa" w:w="2880"/>
            <w:vAlign w:val="center"/>
          </w:tcPr>
          <w:p>
            <w:r/>
            <w:r>
              <w:rPr>
                <w:sz w:val="20"/>
              </w:rPr>
              <w:t>@google/genai</w:t>
            </w:r>
          </w:p>
        </w:tc>
        <w:tc>
          <w:tcPr>
            <w:tcW w:type="dxa" w:w="2880"/>
            <w:vAlign w:val="center"/>
          </w:tcPr>
          <w:p>
            <w:r/>
            <w:r>
              <w:rPr>
                <w:sz w:val="20"/>
              </w:rPr>
              <w:t>^1.50.1</w:t>
            </w:r>
          </w:p>
        </w:tc>
        <w:tc>
          <w:tcPr>
            <w:tcW w:type="dxa" w:w="2880"/>
            <w:vAlign w:val="center"/>
          </w:tcPr>
          <w:p>
            <w:r/>
            <w:r>
              <w:rPr>
                <w:sz w:val="20"/>
              </w:rPr>
              <w:t>Current</w:t>
            </w:r>
          </w:p>
        </w:tc>
      </w:tr>
      <w:tr>
        <w:tc>
          <w:tcPr>
            <w:tcW w:type="dxa" w:w="2880"/>
            <w:vAlign w:val="center"/>
          </w:tcPr>
          <w:p>
            <w:r/>
            <w:r>
              <w:rPr>
                <w:sz w:val="20"/>
              </w:rPr>
              <w:t>@react-pdf/renderer</w:t>
            </w:r>
          </w:p>
        </w:tc>
        <w:tc>
          <w:tcPr>
            <w:tcW w:type="dxa" w:w="2880"/>
            <w:vAlign w:val="center"/>
          </w:tcPr>
          <w:p>
            <w:r/>
            <w:r>
              <w:rPr>
                <w:sz w:val="20"/>
              </w:rPr>
              <w:t>^4.5.1</w:t>
            </w:r>
          </w:p>
        </w:tc>
        <w:tc>
          <w:tcPr>
            <w:tcW w:type="dxa" w:w="2880"/>
            <w:vAlign w:val="center"/>
          </w:tcPr>
          <w:p>
            <w:r/>
            <w:r>
              <w:rPr>
                <w:sz w:val="20"/>
              </w:rPr>
              <w:t>Monitor for advisories — historically a sensitive surface</w:t>
            </w:r>
          </w:p>
        </w:tc>
      </w:tr>
    </w:tbl>
    <w:p>
      <w:r>
        <w:rPr>
          <w:rFonts w:ascii="Calibri" w:hAnsi="Calibri"/>
          <w:b w:val="0"/>
          <w:i/>
          <w:color w:val="555F6D"/>
          <w:sz w:val="22"/>
        </w:rPr>
        <w:t>Recommend a CI step running `npm audit --audit-level=high` and Dependabot or Renovate for automated updates.</w:t>
      </w:r>
    </w:p>
    <w:p>
      <w:pPr>
        <w:pStyle w:val="Heading2"/>
      </w:pPr>
      <w:r>
        <w:rPr>
          <w:rFonts w:ascii="Calibri" w:hAnsi="Calibri"/>
          <w:color w:val="0B2A4A"/>
        </w:rPr>
        <w:t>4.11 Logging &amp; Monitoring</w:t>
      </w:r>
    </w:p>
    <w:p>
      <w:pPr>
        <w:pStyle w:val="ListBullet"/>
      </w:pPr>
      <w:r>
        <w:rPr>
          <w:rFonts w:ascii="Calibri" w:hAnsi="Calibri"/>
          <w:sz w:val="22"/>
        </w:rPr>
        <w:t>Sentry initialised in production only; replaysSessionSampleRate=0 (no full-session recording).</w:t>
      </w:r>
    </w:p>
    <w:p>
      <w:pPr>
        <w:pStyle w:val="ListBullet"/>
      </w:pPr>
      <w:r>
        <w:rPr>
          <w:rFonts w:ascii="Calibri" w:hAnsi="Calibri"/>
          <w:sz w:val="22"/>
        </w:rPr>
        <w:t>Server-side errors logged with context to console; client receives generic messages — no stack traces leaked.</w:t>
      </w:r>
    </w:p>
    <w:p>
      <w:pPr>
        <w:pStyle w:val="ListBullet"/>
      </w:pPr>
      <w:r>
        <w:rPr>
          <w:rFonts w:ascii="Calibri" w:hAnsi="Calibri"/>
          <w:sz w:val="22"/>
        </w:rPr>
        <w:t>Error boundary (src/app/error.tsx) shows error digest only.</w:t>
      </w:r>
    </w:p>
    <w:p>
      <w:pPr>
        <w:pStyle w:val="Heading2"/>
      </w:pPr>
      <w:r>
        <w:rPr>
          <w:rFonts w:ascii="Calibri" w:hAnsi="Calibri"/>
          <w:color w:val="0B2A4A"/>
        </w:rPr>
        <w:t>4.12 POPIA &amp; Data Protection (South Africa)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2A4A"/>
          </w:tcPr>
          <w:p>
            <w:r/>
            <w:r>
              <w:rPr>
                <w:b/>
                <w:color w:val="FFFFFF"/>
                <w:sz w:val="20"/>
              </w:rPr>
              <w:t>Requirement</w:t>
            </w:r>
          </w:p>
        </w:tc>
        <w:tc>
          <w:tcPr>
            <w:tcW w:type="dxa" w:w="2880"/>
            <w:shd w:val="clear" w:color="auto" w:fill="0B2A4A"/>
          </w:tcPr>
          <w:p>
            <w:r/>
            <w:r>
              <w:rPr>
                <w:b/>
                <w:color w:val="FFFFFF"/>
                <w:sz w:val="20"/>
              </w:rPr>
              <w:t>Status</w:t>
            </w:r>
          </w:p>
        </w:tc>
        <w:tc>
          <w:tcPr>
            <w:tcW w:type="dxa" w:w="2880"/>
            <w:shd w:val="clear" w:color="auto" w:fill="0B2A4A"/>
          </w:tcPr>
          <w:p>
            <w:r/>
            <w:r>
              <w:rPr>
                <w:b/>
                <w:color w:val="FFFFFF"/>
                <w:sz w:val="20"/>
              </w:rPr>
              <w:t>Notes</w:t>
            </w:r>
          </w:p>
        </w:tc>
      </w:tr>
      <w:tr>
        <w:tc>
          <w:tcPr>
            <w:tcW w:type="dxa" w:w="2880"/>
            <w:vAlign w:val="center"/>
          </w:tcPr>
          <w:p>
            <w:r/>
            <w:r>
              <w:rPr>
                <w:sz w:val="20"/>
              </w:rPr>
              <w:t>Consent capture (POPIA s.11)</w:t>
            </w:r>
          </w:p>
        </w:tc>
        <w:tc>
          <w:tcPr>
            <w:tcW w:type="dxa" w:w="2880"/>
            <w:vAlign w:val="center"/>
            <w:shd w:val="clear" w:color="auto" w:fill="1F7A3C"/>
          </w:tcPr>
          <w:p>
            <w:r/>
            <w:r>
              <w:rPr>
                <w:b/>
                <w:color w:val="FFFFFF"/>
                <w:sz w:val="20"/>
              </w:rPr>
              <w:t>Pass</w:t>
            </w:r>
          </w:p>
        </w:tc>
        <w:tc>
          <w:tcPr>
            <w:tcW w:type="dxa" w:w="2880"/>
            <w:vAlign w:val="center"/>
          </w:tcPr>
          <w:p>
            <w:r/>
            <w:r>
              <w:rPr>
                <w:sz w:val="20"/>
              </w:rPr>
              <w:t>PopiaConsentSchema records date, method, channel opt-ins, revocation</w:t>
            </w:r>
          </w:p>
        </w:tc>
      </w:tr>
      <w:tr>
        <w:tc>
          <w:tcPr>
            <w:tcW w:type="dxa" w:w="2880"/>
            <w:vAlign w:val="center"/>
          </w:tcPr>
          <w:p>
            <w:r/>
            <w:r>
              <w:rPr>
                <w:sz w:val="20"/>
              </w:rPr>
              <w:t>Consent enforcement before outbound</w:t>
            </w:r>
          </w:p>
        </w:tc>
        <w:tc>
          <w:tcPr>
            <w:tcW w:type="dxa" w:w="2880"/>
            <w:vAlign w:val="center"/>
            <w:shd w:val="clear" w:color="auto" w:fill="C17A00"/>
          </w:tcPr>
          <w:p>
            <w:r/>
            <w:r>
              <w:rPr>
                <w:b/>
                <w:color w:val="FFFFFF"/>
                <w:sz w:val="20"/>
              </w:rPr>
              <w:t>Partial</w:t>
            </w:r>
          </w:p>
        </w:tc>
        <w:tc>
          <w:tcPr>
            <w:tcW w:type="dxa" w:w="2880"/>
            <w:vAlign w:val="center"/>
          </w:tcPr>
          <w:p>
            <w:r/>
            <w:r>
              <w:rPr>
                <w:sz w:val="20"/>
              </w:rPr>
              <w:t>F-06 — gates on SMS/email dispatch not exhaustively verified</w:t>
            </w:r>
          </w:p>
        </w:tc>
      </w:tr>
      <w:tr>
        <w:tc>
          <w:tcPr>
            <w:tcW w:type="dxa" w:w="2880"/>
            <w:vAlign w:val="center"/>
          </w:tcPr>
          <w:p>
            <w:r/>
            <w:r>
              <w:rPr>
                <w:sz w:val="20"/>
              </w:rPr>
              <w:t>Right to access / export</w:t>
            </w:r>
          </w:p>
        </w:tc>
        <w:tc>
          <w:tcPr>
            <w:tcW w:type="dxa" w:w="2880"/>
            <w:vAlign w:val="center"/>
            <w:shd w:val="clear" w:color="auto" w:fill="C17A00"/>
          </w:tcPr>
          <w:p>
            <w:r/>
            <w:r>
              <w:rPr>
                <w:b/>
                <w:color w:val="FFFFFF"/>
                <w:sz w:val="20"/>
              </w:rPr>
              <w:t>Partial</w:t>
            </w:r>
          </w:p>
        </w:tc>
        <w:tc>
          <w:tcPr>
            <w:tcW w:type="dxa" w:w="2880"/>
            <w:vAlign w:val="center"/>
          </w:tcPr>
          <w:p>
            <w:r/>
            <w:r>
              <w:rPr>
                <w:sz w:val="20"/>
              </w:rPr>
              <w:t>No dedicated endpoint identified</w:t>
            </w:r>
          </w:p>
        </w:tc>
      </w:tr>
      <w:tr>
        <w:tc>
          <w:tcPr>
            <w:tcW w:type="dxa" w:w="2880"/>
            <w:vAlign w:val="center"/>
          </w:tcPr>
          <w:p>
            <w:r/>
            <w:r>
              <w:rPr>
                <w:sz w:val="20"/>
              </w:rPr>
              <w:t>Right to erasure</w:t>
            </w:r>
          </w:p>
        </w:tc>
        <w:tc>
          <w:tcPr>
            <w:tcW w:type="dxa" w:w="2880"/>
            <w:vAlign w:val="center"/>
            <w:shd w:val="clear" w:color="auto" w:fill="C17A00"/>
          </w:tcPr>
          <w:p>
            <w:r/>
            <w:r>
              <w:rPr>
                <w:b/>
                <w:color w:val="FFFFFF"/>
                <w:sz w:val="20"/>
              </w:rPr>
              <w:t>Partial</w:t>
            </w:r>
          </w:p>
        </w:tc>
        <w:tc>
          <w:tcPr>
            <w:tcW w:type="dxa" w:w="2880"/>
            <w:vAlign w:val="center"/>
          </w:tcPr>
          <w:p>
            <w:r/>
            <w:r>
              <w:rPr>
                <w:sz w:val="20"/>
              </w:rPr>
              <w:t>Owner can delete their own records via UI; bulk export/delete absent</w:t>
            </w:r>
          </w:p>
        </w:tc>
      </w:tr>
      <w:tr>
        <w:tc>
          <w:tcPr>
            <w:tcW w:type="dxa" w:w="2880"/>
            <w:vAlign w:val="center"/>
          </w:tcPr>
          <w:p>
            <w:r/>
            <w:r>
              <w:rPr>
                <w:sz w:val="20"/>
              </w:rPr>
              <w:t>Data minimisation</w:t>
            </w:r>
          </w:p>
        </w:tc>
        <w:tc>
          <w:tcPr>
            <w:tcW w:type="dxa" w:w="2880"/>
            <w:vAlign w:val="center"/>
            <w:shd w:val="clear" w:color="auto" w:fill="1F7A3C"/>
          </w:tcPr>
          <w:p>
            <w:r/>
            <w:r>
              <w:rPr>
                <w:b/>
                <w:color w:val="FFFFFF"/>
                <w:sz w:val="20"/>
              </w:rPr>
              <w:t>Pass</w:t>
            </w:r>
          </w:p>
        </w:tc>
        <w:tc>
          <w:tcPr>
            <w:tcW w:type="dxa" w:w="2880"/>
            <w:vAlign w:val="center"/>
          </w:tcPr>
          <w:p>
            <w:r/>
            <w:r>
              <w:rPr>
                <w:sz w:val="20"/>
              </w:rPr>
              <w:t>Schemas restrict fields; no excessive PII collection observed</w:t>
            </w:r>
          </w:p>
        </w:tc>
      </w:tr>
      <w:tr>
        <w:tc>
          <w:tcPr>
            <w:tcW w:type="dxa" w:w="2880"/>
            <w:vAlign w:val="center"/>
          </w:tcPr>
          <w:p>
            <w:r/>
            <w:r>
              <w:rPr>
                <w:sz w:val="20"/>
              </w:rPr>
              <w:t>Cross-border transfer disclosure</w:t>
            </w:r>
          </w:p>
        </w:tc>
        <w:tc>
          <w:tcPr>
            <w:tcW w:type="dxa" w:w="2880"/>
            <w:vAlign w:val="center"/>
          </w:tcPr>
          <w:p>
            <w:r/>
            <w:r>
              <w:rPr>
                <w:sz w:val="20"/>
              </w:rPr>
              <w:t>n/a</w:t>
            </w:r>
          </w:p>
        </w:tc>
        <w:tc>
          <w:tcPr>
            <w:tcW w:type="dxa" w:w="2880"/>
            <w:vAlign w:val="center"/>
          </w:tcPr>
          <w:p>
            <w:r/>
            <w:r>
              <w:rPr>
                <w:sz w:val="20"/>
              </w:rPr>
              <w:t>Hosted in africa-south1 — data residency in SA</w:t>
            </w:r>
          </w:p>
        </w:tc>
      </w:tr>
      <w:tr>
        <w:tc>
          <w:tcPr>
            <w:tcW w:type="dxa" w:w="2880"/>
            <w:vAlign w:val="center"/>
          </w:tcPr>
          <w:p>
            <w:r/>
            <w:r>
              <w:rPr>
                <w:sz w:val="20"/>
              </w:rPr>
              <w:t>Information Officer designation</w:t>
            </w:r>
          </w:p>
        </w:tc>
        <w:tc>
          <w:tcPr>
            <w:tcW w:type="dxa" w:w="2880"/>
            <w:vAlign w:val="center"/>
          </w:tcPr>
          <w:p>
            <w:r/>
            <w:r>
              <w:rPr>
                <w:sz w:val="20"/>
              </w:rPr>
              <w:t>External</w:t>
            </w:r>
          </w:p>
        </w:tc>
        <w:tc>
          <w:tcPr>
            <w:tcW w:type="dxa" w:w="2880"/>
            <w:vAlign w:val="center"/>
          </w:tcPr>
          <w:p>
            <w:r/>
            <w:r>
              <w:rPr>
                <w:sz w:val="20"/>
              </w:rPr>
              <w:t>Operational/governance, not a code matter</w:t>
            </w:r>
          </w:p>
        </w:tc>
      </w:tr>
    </w:tbl>
    <w:p>
      <w:pPr>
        <w:pStyle w:val="Heading2"/>
      </w:pPr>
      <w:r>
        <w:rPr>
          <w:rFonts w:ascii="Calibri" w:hAnsi="Calibri"/>
          <w:color w:val="0B2A4A"/>
        </w:rPr>
        <w:t>4.13 Client-Side</w:t>
      </w:r>
    </w:p>
    <w:p>
      <w:pPr>
        <w:pStyle w:val="ListBullet"/>
      </w:pPr>
      <w:r>
        <w:rPr>
          <w:rFonts w:ascii="Calibri" w:hAnsi="Calibri"/>
          <w:sz w:val="22"/>
        </w:rPr>
        <w:t>localStorage used only for non-sensitive preferences (theme, CPD entries, source costs).</w:t>
      </w:r>
    </w:p>
    <w:p>
      <w:pPr>
        <w:pStyle w:val="ListBullet"/>
      </w:pPr>
      <w:r>
        <w:rPr>
          <w:rFonts w:ascii="Calibri" w:hAnsi="Calibri"/>
          <w:sz w:val="22"/>
        </w:rPr>
        <w:t>No tokens or credentials stored client-side outside the __session cookie.</w:t>
      </w:r>
    </w:p>
    <w:p>
      <w:pPr>
        <w:pStyle w:val="ListBullet"/>
      </w:pPr>
      <w:r>
        <w:rPr>
          <w:rFonts w:ascii="Calibri" w:hAnsi="Calibri"/>
          <w:sz w:val="22"/>
        </w:rPr>
        <w:t>All forms and tables render through React — no string-to-HTML interpolation.</w:t>
      </w:r>
    </w:p>
    <w:p>
      <w:r>
        <w:br w:type="page"/>
      </w:r>
    </w:p>
    <w:p>
      <w:pPr>
        <w:pStyle w:val="Heading1"/>
      </w:pPr>
      <w:r>
        <w:rPr>
          <w:rFonts w:ascii="Calibri" w:hAnsi="Calibri"/>
          <w:color w:val="0B2A4A"/>
        </w:rPr>
        <w:t>5. OWASP Top 10 (2021) Mapping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2A4A"/>
          </w:tcPr>
          <w:p>
            <w:r/>
            <w:r>
              <w:rPr>
                <w:b/>
                <w:color w:val="FFFFFF"/>
                <w:sz w:val="20"/>
              </w:rPr>
              <w:t>Category</w:t>
            </w:r>
          </w:p>
        </w:tc>
        <w:tc>
          <w:tcPr>
            <w:tcW w:type="dxa" w:w="2880"/>
            <w:shd w:val="clear" w:color="auto" w:fill="0B2A4A"/>
          </w:tcPr>
          <w:p>
            <w:r/>
            <w:r>
              <w:rPr>
                <w:b/>
                <w:color w:val="FFFFFF"/>
                <w:sz w:val="20"/>
              </w:rPr>
              <w:t>Status</w:t>
            </w:r>
          </w:p>
        </w:tc>
        <w:tc>
          <w:tcPr>
            <w:tcW w:type="dxa" w:w="2880"/>
            <w:shd w:val="clear" w:color="auto" w:fill="0B2A4A"/>
          </w:tcPr>
          <w:p>
            <w:r/>
            <w:r>
              <w:rPr>
                <w:b/>
                <w:color w:val="FFFFFF"/>
                <w:sz w:val="20"/>
              </w:rPr>
              <w:t>Evidence</w:t>
            </w:r>
          </w:p>
        </w:tc>
      </w:tr>
      <w:tr>
        <w:tc>
          <w:tcPr>
            <w:tcW w:type="dxa" w:w="2880"/>
            <w:vAlign w:val="center"/>
          </w:tcPr>
          <w:p>
            <w:r/>
            <w:r>
              <w:rPr>
                <w:sz w:val="20"/>
              </w:rPr>
              <w:t>A01 Broken Access Control</w:t>
            </w:r>
          </w:p>
        </w:tc>
        <w:tc>
          <w:tcPr>
            <w:tcW w:type="dxa" w:w="2880"/>
            <w:vAlign w:val="center"/>
            <w:shd w:val="clear" w:color="auto" w:fill="1F7A3C"/>
          </w:tcPr>
          <w:p>
            <w:r/>
            <w:r>
              <w:rPr>
                <w:b/>
                <w:color w:val="FFFFFF"/>
                <w:sz w:val="20"/>
              </w:rPr>
              <w:t>Pass</w:t>
            </w:r>
          </w:p>
        </w:tc>
        <w:tc>
          <w:tcPr>
            <w:tcW w:type="dxa" w:w="2880"/>
            <w:vAlign w:val="center"/>
          </w:tcPr>
          <w:p>
            <w:r/>
            <w:r>
              <w:rPr>
                <w:sz w:val="20"/>
              </w:rPr>
              <w:t>Owner-scoped Firestore rules; uid-based ownership in API routes</w:t>
            </w:r>
          </w:p>
        </w:tc>
      </w:tr>
      <w:tr>
        <w:tc>
          <w:tcPr>
            <w:tcW w:type="dxa" w:w="2880"/>
            <w:vAlign w:val="center"/>
          </w:tcPr>
          <w:p>
            <w:r/>
            <w:r>
              <w:rPr>
                <w:sz w:val="20"/>
              </w:rPr>
              <w:t>A02 Cryptographic Failures</w:t>
            </w:r>
          </w:p>
        </w:tc>
        <w:tc>
          <w:tcPr>
            <w:tcW w:type="dxa" w:w="2880"/>
            <w:vAlign w:val="center"/>
            <w:shd w:val="clear" w:color="auto" w:fill="1F7A3C"/>
          </w:tcPr>
          <w:p>
            <w:r/>
            <w:r>
              <w:rPr>
                <w:b/>
                <w:color w:val="FFFFFF"/>
                <w:sz w:val="20"/>
              </w:rPr>
              <w:t>Pass</w:t>
            </w:r>
          </w:p>
        </w:tc>
        <w:tc>
          <w:tcPr>
            <w:tcW w:type="dxa" w:w="2880"/>
            <w:vAlign w:val="center"/>
          </w:tcPr>
          <w:p>
            <w:r/>
            <w:r>
              <w:rPr>
                <w:sz w:val="20"/>
              </w:rPr>
              <w:t>HSTS preload; HMAC uses SHA-256 + timingSafeEqual; secrets in Secret Manager</w:t>
            </w:r>
          </w:p>
        </w:tc>
      </w:tr>
      <w:tr>
        <w:tc>
          <w:tcPr>
            <w:tcW w:type="dxa" w:w="2880"/>
            <w:vAlign w:val="center"/>
          </w:tcPr>
          <w:p>
            <w:r/>
            <w:r>
              <w:rPr>
                <w:sz w:val="20"/>
              </w:rPr>
              <w:t>A03 Injection</w:t>
            </w:r>
          </w:p>
        </w:tc>
        <w:tc>
          <w:tcPr>
            <w:tcW w:type="dxa" w:w="2880"/>
            <w:vAlign w:val="center"/>
            <w:shd w:val="clear" w:color="auto" w:fill="1F7A3C"/>
          </w:tcPr>
          <w:p>
            <w:r/>
            <w:r>
              <w:rPr>
                <w:b/>
                <w:color w:val="FFFFFF"/>
                <w:sz w:val="20"/>
              </w:rPr>
              <w:t>Pass</w:t>
            </w:r>
          </w:p>
        </w:tc>
        <w:tc>
          <w:tcPr>
            <w:tcW w:type="dxa" w:w="2880"/>
            <w:vAlign w:val="center"/>
          </w:tcPr>
          <w:p>
            <w:r/>
            <w:r>
              <w:rPr>
                <w:sz w:val="20"/>
              </w:rPr>
              <w:t>Zod validation; no raw queries; Gemini prompt sanitisation</w:t>
            </w:r>
          </w:p>
        </w:tc>
      </w:tr>
      <w:tr>
        <w:tc>
          <w:tcPr>
            <w:tcW w:type="dxa" w:w="2880"/>
            <w:vAlign w:val="center"/>
          </w:tcPr>
          <w:p>
            <w:r/>
            <w:r>
              <w:rPr>
                <w:sz w:val="20"/>
              </w:rPr>
              <w:t>A04 Insecure Design</w:t>
            </w:r>
          </w:p>
        </w:tc>
        <w:tc>
          <w:tcPr>
            <w:tcW w:type="dxa" w:w="2880"/>
            <w:vAlign w:val="center"/>
            <w:shd w:val="clear" w:color="auto" w:fill="1F7A3C"/>
          </w:tcPr>
          <w:p>
            <w:r/>
            <w:r>
              <w:rPr>
                <w:b/>
                <w:color w:val="FFFFFF"/>
                <w:sz w:val="20"/>
              </w:rPr>
              <w:t>Pass</w:t>
            </w:r>
          </w:p>
        </w:tc>
        <w:tc>
          <w:tcPr>
            <w:tcW w:type="dxa" w:w="2880"/>
            <w:vAlign w:val="center"/>
          </w:tcPr>
          <w:p>
            <w:r/>
            <w:r>
              <w:rPr>
                <w:sz w:val="20"/>
              </w:rPr>
              <w:t>Defense in depth between code-side validation and Firestore rules</w:t>
            </w:r>
          </w:p>
        </w:tc>
      </w:tr>
      <w:tr>
        <w:tc>
          <w:tcPr>
            <w:tcW w:type="dxa" w:w="2880"/>
            <w:vAlign w:val="center"/>
          </w:tcPr>
          <w:p>
            <w:r/>
            <w:r>
              <w:rPr>
                <w:sz w:val="20"/>
              </w:rPr>
              <w:t>A05 Security Misconfiguration</w:t>
            </w:r>
          </w:p>
        </w:tc>
        <w:tc>
          <w:tcPr>
            <w:tcW w:type="dxa" w:w="2880"/>
            <w:vAlign w:val="center"/>
            <w:shd w:val="clear" w:color="auto" w:fill="C17A00"/>
          </w:tcPr>
          <w:p>
            <w:r/>
            <w:r>
              <w:rPr>
                <w:b/>
                <w:color w:val="FFFFFF"/>
                <w:sz w:val="20"/>
              </w:rPr>
              <w:t>Partial</w:t>
            </w:r>
          </w:p>
        </w:tc>
        <w:tc>
          <w:tcPr>
            <w:tcW w:type="dxa" w:w="2880"/>
            <w:vAlign w:val="center"/>
          </w:tcPr>
          <w:p>
            <w:r/>
            <w:r>
              <w:rPr>
                <w:sz w:val="20"/>
              </w:rPr>
              <w:t>Missing CSP and storage.rules</w:t>
            </w:r>
          </w:p>
        </w:tc>
      </w:tr>
      <w:tr>
        <w:tc>
          <w:tcPr>
            <w:tcW w:type="dxa" w:w="2880"/>
            <w:vAlign w:val="center"/>
          </w:tcPr>
          <w:p>
            <w:r/>
            <w:r>
              <w:rPr>
                <w:sz w:val="20"/>
              </w:rPr>
              <w:t>A06 Vulnerable &amp; Outdated Components</w:t>
            </w:r>
          </w:p>
        </w:tc>
        <w:tc>
          <w:tcPr>
            <w:tcW w:type="dxa" w:w="2880"/>
            <w:vAlign w:val="center"/>
            <w:shd w:val="clear" w:color="auto" w:fill="1F7A3C"/>
          </w:tcPr>
          <w:p>
            <w:r/>
            <w:r>
              <w:rPr>
                <w:b/>
                <w:color w:val="FFFFFF"/>
                <w:sz w:val="20"/>
              </w:rPr>
              <w:t>Pass</w:t>
            </w:r>
          </w:p>
        </w:tc>
        <w:tc>
          <w:tcPr>
            <w:tcW w:type="dxa" w:w="2880"/>
            <w:vAlign w:val="center"/>
          </w:tcPr>
          <w:p>
            <w:r/>
            <w:r>
              <w:rPr>
                <w:sz w:val="20"/>
              </w:rPr>
              <w:t>All major frameworks on current major; recommend automated audit in CI</w:t>
            </w:r>
          </w:p>
        </w:tc>
      </w:tr>
      <w:tr>
        <w:tc>
          <w:tcPr>
            <w:tcW w:type="dxa" w:w="2880"/>
            <w:vAlign w:val="center"/>
          </w:tcPr>
          <w:p>
            <w:r/>
            <w:r>
              <w:rPr>
                <w:sz w:val="20"/>
              </w:rPr>
              <w:t>A07 Identification &amp; Auth Failures</w:t>
            </w:r>
          </w:p>
        </w:tc>
        <w:tc>
          <w:tcPr>
            <w:tcW w:type="dxa" w:w="2880"/>
            <w:vAlign w:val="center"/>
            <w:shd w:val="clear" w:color="auto" w:fill="1F7A3C"/>
          </w:tcPr>
          <w:p>
            <w:r/>
            <w:r>
              <w:rPr>
                <w:b/>
                <w:color w:val="FFFFFF"/>
                <w:sz w:val="20"/>
              </w:rPr>
              <w:t>Pass</w:t>
            </w:r>
          </w:p>
        </w:tc>
        <w:tc>
          <w:tcPr>
            <w:tcW w:type="dxa" w:w="2880"/>
            <w:vAlign w:val="center"/>
          </w:tcPr>
          <w:p>
            <w:r/>
            <w:r>
              <w:rPr>
                <w:sz w:val="20"/>
              </w:rPr>
              <w:t>Firebase Auth + verifyIdToken on server</w:t>
            </w:r>
          </w:p>
        </w:tc>
      </w:tr>
      <w:tr>
        <w:tc>
          <w:tcPr>
            <w:tcW w:type="dxa" w:w="2880"/>
            <w:vAlign w:val="center"/>
          </w:tcPr>
          <w:p>
            <w:r/>
            <w:r>
              <w:rPr>
                <w:sz w:val="20"/>
              </w:rPr>
              <w:t>A08 Software &amp; Data Integrity Failures</w:t>
            </w:r>
          </w:p>
        </w:tc>
        <w:tc>
          <w:tcPr>
            <w:tcW w:type="dxa" w:w="2880"/>
            <w:vAlign w:val="center"/>
            <w:shd w:val="clear" w:color="auto" w:fill="1F7A3C"/>
          </w:tcPr>
          <w:p>
            <w:r/>
            <w:r>
              <w:rPr>
                <w:b/>
                <w:color w:val="FFFFFF"/>
                <w:sz w:val="20"/>
              </w:rPr>
              <w:t>Pass</w:t>
            </w:r>
          </w:p>
        </w:tc>
        <w:tc>
          <w:tcPr>
            <w:tcW w:type="dxa" w:w="2880"/>
            <w:vAlign w:val="center"/>
          </w:tcPr>
          <w:p>
            <w:r/>
            <w:r>
              <w:rPr>
                <w:sz w:val="20"/>
              </w:rPr>
              <w:t>HMAC on inbound webhook; no dynamic code execution</w:t>
            </w:r>
          </w:p>
        </w:tc>
      </w:tr>
      <w:tr>
        <w:tc>
          <w:tcPr>
            <w:tcW w:type="dxa" w:w="2880"/>
            <w:vAlign w:val="center"/>
          </w:tcPr>
          <w:p>
            <w:r/>
            <w:r>
              <w:rPr>
                <w:sz w:val="20"/>
              </w:rPr>
              <w:t>A09 Security Logging &amp; Monitoring</w:t>
            </w:r>
          </w:p>
        </w:tc>
        <w:tc>
          <w:tcPr>
            <w:tcW w:type="dxa" w:w="2880"/>
            <w:vAlign w:val="center"/>
            <w:shd w:val="clear" w:color="auto" w:fill="1F7A3C"/>
          </w:tcPr>
          <w:p>
            <w:r/>
            <w:r>
              <w:rPr>
                <w:b/>
                <w:color w:val="FFFFFF"/>
                <w:sz w:val="20"/>
              </w:rPr>
              <w:t>Pass</w:t>
            </w:r>
          </w:p>
        </w:tc>
        <w:tc>
          <w:tcPr>
            <w:tcW w:type="dxa" w:w="2880"/>
            <w:vAlign w:val="center"/>
          </w:tcPr>
          <w:p>
            <w:r/>
            <w:r>
              <w:rPr>
                <w:sz w:val="20"/>
              </w:rPr>
              <w:t>Sentry + structured server logs</w:t>
            </w:r>
          </w:p>
        </w:tc>
      </w:tr>
      <w:tr>
        <w:tc>
          <w:tcPr>
            <w:tcW w:type="dxa" w:w="2880"/>
            <w:vAlign w:val="center"/>
          </w:tcPr>
          <w:p>
            <w:r/>
            <w:r>
              <w:rPr>
                <w:sz w:val="20"/>
              </w:rPr>
              <w:t>A10 Server-Side Request Forgery</w:t>
            </w:r>
          </w:p>
        </w:tc>
        <w:tc>
          <w:tcPr>
            <w:tcW w:type="dxa" w:w="2880"/>
            <w:vAlign w:val="center"/>
            <w:shd w:val="clear" w:color="auto" w:fill="1F7A3C"/>
          </w:tcPr>
          <w:p>
            <w:r/>
            <w:r>
              <w:rPr>
                <w:b/>
                <w:color w:val="FFFFFF"/>
                <w:sz w:val="20"/>
              </w:rPr>
              <w:t>Pass</w:t>
            </w:r>
          </w:p>
        </w:tc>
        <w:tc>
          <w:tcPr>
            <w:tcW w:type="dxa" w:w="2880"/>
            <w:vAlign w:val="center"/>
          </w:tcPr>
          <w:p>
            <w:r/>
            <w:r>
              <w:rPr>
                <w:sz w:val="20"/>
              </w:rPr>
              <w:t>Outbound calls limited to Gemini, BulkSMS, Firebase — no user-controlled URLs fetched</w:t>
            </w:r>
          </w:p>
        </w:tc>
      </w:tr>
    </w:tbl>
    <w:p>
      <w:r>
        <w:br w:type="page"/>
      </w:r>
    </w:p>
    <w:p>
      <w:pPr>
        <w:pStyle w:val="Heading1"/>
      </w:pPr>
      <w:r>
        <w:rPr>
          <w:rFonts w:ascii="Calibri" w:hAnsi="Calibri"/>
          <w:color w:val="0B2A4A"/>
        </w:rPr>
        <w:t>6. Remediation Roadmap</w:t>
      </w:r>
    </w:p>
    <w:p>
      <w:pPr>
        <w:pStyle w:val="Heading2"/>
      </w:pPr>
      <w:r>
        <w:rPr>
          <w:rFonts w:ascii="Calibri" w:hAnsi="Calibri"/>
          <w:color w:val="0B2A4A"/>
        </w:rPr>
        <w:t>Immediate (this week, blocking deploy)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B2A4A"/>
          </w:tcPr>
          <w:p>
            <w:r/>
            <w:r>
              <w:rPr>
                <w:b/>
                <w:color w:val="FFFFFF"/>
                <w:sz w:val="20"/>
              </w:rPr>
              <w:t>#</w:t>
            </w:r>
          </w:p>
        </w:tc>
        <w:tc>
          <w:tcPr>
            <w:tcW w:type="dxa" w:w="2160"/>
            <w:shd w:val="clear" w:color="auto" w:fill="0B2A4A"/>
          </w:tcPr>
          <w:p>
            <w:r/>
            <w:r>
              <w:rPr>
                <w:b/>
                <w:color w:val="FFFFFF"/>
                <w:sz w:val="20"/>
              </w:rPr>
              <w:t>Action</w:t>
            </w:r>
          </w:p>
        </w:tc>
        <w:tc>
          <w:tcPr>
            <w:tcW w:type="dxa" w:w="2160"/>
            <w:shd w:val="clear" w:color="auto" w:fill="0B2A4A"/>
          </w:tcPr>
          <w:p>
            <w:r/>
            <w:r>
              <w:rPr>
                <w:b/>
                <w:color w:val="FFFFFF"/>
                <w:sz w:val="20"/>
              </w:rPr>
              <w:t>Owner</w:t>
            </w:r>
          </w:p>
        </w:tc>
        <w:tc>
          <w:tcPr>
            <w:tcW w:type="dxa" w:w="2160"/>
            <w:shd w:val="clear" w:color="auto" w:fill="0B2A4A"/>
          </w:tcPr>
          <w:p>
            <w:r/>
            <w:r>
              <w:rPr>
                <w:b/>
                <w:color w:val="FFFFFF"/>
                <w:sz w:val="20"/>
              </w:rPr>
              <w:t>Effort</w:t>
            </w:r>
          </w:p>
        </w:tc>
      </w:tr>
      <w:tr>
        <w:tc>
          <w:tcPr>
            <w:tcW w:type="dxa" w:w="2160"/>
            <w:vAlign w:val="center"/>
          </w:tcPr>
          <w:p>
            <w:r/>
            <w:r>
              <w:rPr>
                <w:sz w:val="20"/>
              </w:rPr>
              <w:t>1</w:t>
            </w:r>
          </w:p>
        </w:tc>
        <w:tc>
          <w:tcPr>
            <w:tcW w:type="dxa" w:w="2160"/>
            <w:vAlign w:val="center"/>
          </w:tcPr>
          <w:p>
            <w:r/>
            <w:r>
              <w:rPr>
                <w:sz w:val="20"/>
              </w:rPr>
              <w:t>Enable Firestore TTL policy on rateLimits.expiresAt via Firebase console (NEW-02)</w:t>
            </w:r>
          </w:p>
        </w:tc>
        <w:tc>
          <w:tcPr>
            <w:tcW w:type="dxa" w:w="2160"/>
            <w:vAlign w:val="center"/>
          </w:tcPr>
          <w:p>
            <w:r/>
            <w:r>
              <w:rPr>
                <w:sz w:val="20"/>
              </w:rPr>
              <w:t>Engineering / Ops</w:t>
            </w:r>
          </w:p>
        </w:tc>
        <w:tc>
          <w:tcPr>
            <w:tcW w:type="dxa" w:w="2160"/>
            <w:vAlign w:val="center"/>
          </w:tcPr>
          <w:p>
            <w:r/>
            <w:r>
              <w:rPr>
                <w:sz w:val="20"/>
              </w:rPr>
              <w:t>15 min</w:t>
            </w:r>
          </w:p>
        </w:tc>
      </w:tr>
      <w:tr>
        <w:tc>
          <w:tcPr>
            <w:tcW w:type="dxa" w:w="2160"/>
            <w:vAlign w:val="center"/>
          </w:tcPr>
          <w:p>
            <w:r/>
            <w:r>
              <w:rPr>
                <w:sz w:val="20"/>
              </w:rPr>
              <w:t>2</w:t>
            </w:r>
          </w:p>
        </w:tc>
        <w:tc>
          <w:tcPr>
            <w:tcW w:type="dxa" w:w="2160"/>
            <w:vAlign w:val="center"/>
          </w:tcPr>
          <w:p>
            <w:r/>
            <w:r>
              <w:rPr>
                <w:sz w:val="20"/>
              </w:rPr>
              <w:t>Commit storage.rules with owner-scoped paths and size limit, then `firebase deploy --only storage` (F-03)</w:t>
            </w:r>
          </w:p>
        </w:tc>
        <w:tc>
          <w:tcPr>
            <w:tcW w:type="dxa" w:w="2160"/>
            <w:vAlign w:val="center"/>
          </w:tcPr>
          <w:p>
            <w:r/>
            <w:r>
              <w:rPr>
                <w:sz w:val="20"/>
              </w:rPr>
              <w:t>Engineering</w:t>
            </w:r>
          </w:p>
        </w:tc>
        <w:tc>
          <w:tcPr>
            <w:tcW w:type="dxa" w:w="2160"/>
            <w:vAlign w:val="center"/>
          </w:tcPr>
          <w:p>
            <w:r/>
            <w:r>
              <w:rPr>
                <w:sz w:val="20"/>
              </w:rPr>
              <w:t>Half-day</w:t>
            </w:r>
          </w:p>
        </w:tc>
      </w:tr>
      <w:tr>
        <w:tc>
          <w:tcPr>
            <w:tcW w:type="dxa" w:w="2160"/>
            <w:vAlign w:val="center"/>
          </w:tcPr>
          <w:p>
            <w:r/>
            <w:r>
              <w:rPr>
                <w:sz w:val="20"/>
              </w:rPr>
              <w:t>3</w:t>
            </w:r>
          </w:p>
        </w:tc>
        <w:tc>
          <w:tcPr>
            <w:tcW w:type="dxa" w:w="2160"/>
            <w:vAlign w:val="center"/>
          </w:tcPr>
          <w:p>
            <w:r/>
            <w:r>
              <w:rPr>
                <w:sz w:val="20"/>
              </w:rPr>
              <w:t>Soak CSP report-only in preview for 24-48 h, then flip header to enforcing Content-Security-Policy (F-02)</w:t>
            </w:r>
          </w:p>
        </w:tc>
        <w:tc>
          <w:tcPr>
            <w:tcW w:type="dxa" w:w="2160"/>
            <w:vAlign w:val="center"/>
          </w:tcPr>
          <w:p>
            <w:r/>
            <w:r>
              <w:rPr>
                <w:sz w:val="20"/>
              </w:rPr>
              <w:t>Engineering</w:t>
            </w:r>
          </w:p>
        </w:tc>
        <w:tc>
          <w:tcPr>
            <w:tcW w:type="dxa" w:w="2160"/>
            <w:vAlign w:val="center"/>
          </w:tcPr>
          <w:p>
            <w:r/>
            <w:r>
              <w:rPr>
                <w:sz w:val="20"/>
              </w:rPr>
              <w:t>1 hour after soak</w:t>
            </w:r>
          </w:p>
        </w:tc>
      </w:tr>
    </w:tbl>
    <w:p>
      <w:pPr>
        <w:pStyle w:val="Heading2"/>
      </w:pPr>
      <w:r>
        <w:rPr>
          <w:rFonts w:ascii="Calibri" w:hAnsi="Calibri"/>
          <w:color w:val="0B2A4A"/>
        </w:rPr>
        <w:t>Short-term (this sprint)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B2A4A"/>
          </w:tcPr>
          <w:p>
            <w:r/>
            <w:r>
              <w:rPr>
                <w:b/>
                <w:color w:val="FFFFFF"/>
                <w:sz w:val="20"/>
              </w:rPr>
              <w:t>#</w:t>
            </w:r>
          </w:p>
        </w:tc>
        <w:tc>
          <w:tcPr>
            <w:tcW w:type="dxa" w:w="2160"/>
            <w:shd w:val="clear" w:color="auto" w:fill="0B2A4A"/>
          </w:tcPr>
          <w:p>
            <w:r/>
            <w:r>
              <w:rPr>
                <w:b/>
                <w:color w:val="FFFFFF"/>
                <w:sz w:val="20"/>
              </w:rPr>
              <w:t>Action</w:t>
            </w:r>
          </w:p>
        </w:tc>
        <w:tc>
          <w:tcPr>
            <w:tcW w:type="dxa" w:w="2160"/>
            <w:shd w:val="clear" w:color="auto" w:fill="0B2A4A"/>
          </w:tcPr>
          <w:p>
            <w:r/>
            <w:r>
              <w:rPr>
                <w:b/>
                <w:color w:val="FFFFFF"/>
                <w:sz w:val="20"/>
              </w:rPr>
              <w:t>Owner</w:t>
            </w:r>
          </w:p>
        </w:tc>
        <w:tc>
          <w:tcPr>
            <w:tcW w:type="dxa" w:w="2160"/>
            <w:shd w:val="clear" w:color="auto" w:fill="0B2A4A"/>
          </w:tcPr>
          <w:p>
            <w:r/>
            <w:r>
              <w:rPr>
                <w:b/>
                <w:color w:val="FFFFFF"/>
                <w:sz w:val="20"/>
              </w:rPr>
              <w:t>Effort</w:t>
            </w:r>
          </w:p>
        </w:tc>
      </w:tr>
      <w:tr>
        <w:tc>
          <w:tcPr>
            <w:tcW w:type="dxa" w:w="2160"/>
            <w:vAlign w:val="center"/>
          </w:tcPr>
          <w:p>
            <w:r/>
            <w:r>
              <w:rPr>
                <w:sz w:val="20"/>
              </w:rPr>
              <w:t>4</w:t>
            </w:r>
          </w:p>
        </w:tc>
        <w:tc>
          <w:tcPr>
            <w:tcW w:type="dxa" w:w="2160"/>
            <w:vAlign w:val="center"/>
          </w:tcPr>
          <w:p>
            <w:r/>
            <w:r>
              <w:rPr>
                <w:sz w:val="20"/>
              </w:rPr>
              <w:t>Trace and document POPIA consent gates before SMS/email dispatch (F-06)</w:t>
            </w:r>
          </w:p>
        </w:tc>
        <w:tc>
          <w:tcPr>
            <w:tcW w:type="dxa" w:w="2160"/>
            <w:vAlign w:val="center"/>
          </w:tcPr>
          <w:p>
            <w:r/>
            <w:r>
              <w:rPr>
                <w:sz w:val="20"/>
              </w:rPr>
              <w:t>Engineering + Compliance</w:t>
            </w:r>
          </w:p>
        </w:tc>
        <w:tc>
          <w:tcPr>
            <w:tcW w:type="dxa" w:w="2160"/>
            <w:vAlign w:val="center"/>
          </w:tcPr>
          <w:p>
            <w:r/>
            <w:r>
              <w:rPr>
                <w:sz w:val="20"/>
              </w:rPr>
              <w:t>1 day</w:t>
            </w:r>
          </w:p>
        </w:tc>
      </w:tr>
      <w:tr>
        <w:tc>
          <w:tcPr>
            <w:tcW w:type="dxa" w:w="2160"/>
            <w:vAlign w:val="center"/>
          </w:tcPr>
          <w:p>
            <w:r/>
            <w:r>
              <w:rPr>
                <w:sz w:val="20"/>
              </w:rPr>
              <w:t>5</w:t>
            </w:r>
          </w:p>
        </w:tc>
        <w:tc>
          <w:tcPr>
            <w:tcW w:type="dxa" w:w="2160"/>
            <w:vAlign w:val="center"/>
          </w:tcPr>
          <w:p>
            <w:r/>
            <w:r>
              <w:rPr>
                <w:sz w:val="20"/>
              </w:rPr>
              <w:t>Enumerate all required environment variables / secrets in README</w:t>
            </w:r>
          </w:p>
        </w:tc>
        <w:tc>
          <w:tcPr>
            <w:tcW w:type="dxa" w:w="2160"/>
            <w:vAlign w:val="center"/>
          </w:tcPr>
          <w:p>
            <w:r/>
            <w:r>
              <w:rPr>
                <w:sz w:val="20"/>
              </w:rPr>
              <w:t>Engineering</w:t>
            </w:r>
          </w:p>
        </w:tc>
        <w:tc>
          <w:tcPr>
            <w:tcW w:type="dxa" w:w="2160"/>
            <w:vAlign w:val="center"/>
          </w:tcPr>
          <w:p>
            <w:r/>
            <w:r>
              <w:rPr>
                <w:sz w:val="20"/>
              </w:rPr>
              <w:t>1 hour</w:t>
            </w:r>
          </w:p>
        </w:tc>
      </w:tr>
      <w:tr>
        <w:tc>
          <w:tcPr>
            <w:tcW w:type="dxa" w:w="2160"/>
            <w:vAlign w:val="center"/>
          </w:tcPr>
          <w:p>
            <w:r/>
            <w:r>
              <w:rPr>
                <w:sz w:val="20"/>
              </w:rPr>
              <w:t>6</w:t>
            </w:r>
          </w:p>
        </w:tc>
        <w:tc>
          <w:tcPr>
            <w:tcW w:type="dxa" w:w="2160"/>
            <w:vAlign w:val="center"/>
          </w:tcPr>
          <w:p>
            <w:r/>
            <w:r>
              <w:rPr>
                <w:sz w:val="20"/>
              </w:rPr>
              <w:t>Add CSP-violation reporting endpoint or Sentry hook so report-only data is captured</w:t>
            </w:r>
          </w:p>
        </w:tc>
        <w:tc>
          <w:tcPr>
            <w:tcW w:type="dxa" w:w="2160"/>
            <w:vAlign w:val="center"/>
          </w:tcPr>
          <w:p>
            <w:r/>
            <w:r>
              <w:rPr>
                <w:sz w:val="20"/>
              </w:rPr>
              <w:t>Engineering</w:t>
            </w:r>
          </w:p>
        </w:tc>
        <w:tc>
          <w:tcPr>
            <w:tcW w:type="dxa" w:w="2160"/>
            <w:vAlign w:val="center"/>
          </w:tcPr>
          <w:p>
            <w:r/>
            <w:r>
              <w:rPr>
                <w:sz w:val="20"/>
              </w:rPr>
              <w:t>Half-day</w:t>
            </w:r>
          </w:p>
        </w:tc>
      </w:tr>
    </w:tbl>
    <w:p>
      <w:pPr>
        <w:pStyle w:val="Heading2"/>
      </w:pPr>
      <w:r>
        <w:rPr>
          <w:rFonts w:ascii="Calibri" w:hAnsi="Calibri"/>
          <w:color w:val="0B2A4A"/>
        </w:rPr>
        <w:t>Medium-term (next quarter)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B2A4A"/>
          </w:tcPr>
          <w:p>
            <w:r/>
            <w:r>
              <w:rPr>
                <w:b/>
                <w:color w:val="FFFFFF"/>
                <w:sz w:val="20"/>
              </w:rPr>
              <w:t>#</w:t>
            </w:r>
          </w:p>
        </w:tc>
        <w:tc>
          <w:tcPr>
            <w:tcW w:type="dxa" w:w="2160"/>
            <w:shd w:val="clear" w:color="auto" w:fill="0B2A4A"/>
          </w:tcPr>
          <w:p>
            <w:r/>
            <w:r>
              <w:rPr>
                <w:b/>
                <w:color w:val="FFFFFF"/>
                <w:sz w:val="20"/>
              </w:rPr>
              <w:t>Action</w:t>
            </w:r>
          </w:p>
        </w:tc>
        <w:tc>
          <w:tcPr>
            <w:tcW w:type="dxa" w:w="2160"/>
            <w:shd w:val="clear" w:color="auto" w:fill="0B2A4A"/>
          </w:tcPr>
          <w:p>
            <w:r/>
            <w:r>
              <w:rPr>
                <w:b/>
                <w:color w:val="FFFFFF"/>
                <w:sz w:val="20"/>
              </w:rPr>
              <w:t>Owner</w:t>
            </w:r>
          </w:p>
        </w:tc>
        <w:tc>
          <w:tcPr>
            <w:tcW w:type="dxa" w:w="2160"/>
            <w:shd w:val="clear" w:color="auto" w:fill="0B2A4A"/>
          </w:tcPr>
          <w:p>
            <w:r/>
            <w:r>
              <w:rPr>
                <w:b/>
                <w:color w:val="FFFFFF"/>
                <w:sz w:val="20"/>
              </w:rPr>
              <w:t>Effort</w:t>
            </w:r>
          </w:p>
        </w:tc>
      </w:tr>
      <w:tr>
        <w:tc>
          <w:tcPr>
            <w:tcW w:type="dxa" w:w="2160"/>
            <w:vAlign w:val="center"/>
          </w:tcPr>
          <w:p>
            <w:r/>
            <w:r>
              <w:rPr>
                <w:sz w:val="20"/>
              </w:rPr>
              <w:t>7</w:t>
            </w:r>
          </w:p>
        </w:tc>
        <w:tc>
          <w:tcPr>
            <w:tcW w:type="dxa" w:w="2160"/>
            <w:vAlign w:val="center"/>
          </w:tcPr>
          <w:p>
            <w:r/>
            <w:r>
              <w:rPr>
                <w:sz w:val="20"/>
              </w:rPr>
              <w:t>Add `npm audit --audit-level=high` step in CI pipeline</w:t>
            </w:r>
          </w:p>
        </w:tc>
        <w:tc>
          <w:tcPr>
            <w:tcW w:type="dxa" w:w="2160"/>
            <w:vAlign w:val="center"/>
          </w:tcPr>
          <w:p>
            <w:r/>
            <w:r>
              <w:rPr>
                <w:sz w:val="20"/>
              </w:rPr>
              <w:t>Engineering</w:t>
            </w:r>
          </w:p>
        </w:tc>
        <w:tc>
          <w:tcPr>
            <w:tcW w:type="dxa" w:w="2160"/>
            <w:vAlign w:val="center"/>
          </w:tcPr>
          <w:p>
            <w:r/>
            <w:r>
              <w:rPr>
                <w:sz w:val="20"/>
              </w:rPr>
              <w:t>1 hour</w:t>
            </w:r>
          </w:p>
        </w:tc>
      </w:tr>
      <w:tr>
        <w:tc>
          <w:tcPr>
            <w:tcW w:type="dxa" w:w="2160"/>
            <w:vAlign w:val="center"/>
          </w:tcPr>
          <w:p>
            <w:r/>
            <w:r>
              <w:rPr>
                <w:sz w:val="20"/>
              </w:rPr>
              <w:t>8</w:t>
            </w:r>
          </w:p>
        </w:tc>
        <w:tc>
          <w:tcPr>
            <w:tcW w:type="dxa" w:w="2160"/>
            <w:vAlign w:val="center"/>
          </w:tcPr>
          <w:p>
            <w:r/>
            <w:r>
              <w:rPr>
                <w:sz w:val="20"/>
              </w:rPr>
              <w:t>Enable Dependabot or Renovate for dependency updates</w:t>
            </w:r>
          </w:p>
        </w:tc>
        <w:tc>
          <w:tcPr>
            <w:tcW w:type="dxa" w:w="2160"/>
            <w:vAlign w:val="center"/>
          </w:tcPr>
          <w:p>
            <w:r/>
            <w:r>
              <w:rPr>
                <w:sz w:val="20"/>
              </w:rPr>
              <w:t>Engineering</w:t>
            </w:r>
          </w:p>
        </w:tc>
        <w:tc>
          <w:tcPr>
            <w:tcW w:type="dxa" w:w="2160"/>
            <w:vAlign w:val="center"/>
          </w:tcPr>
          <w:p>
            <w:r/>
            <w:r>
              <w:rPr>
                <w:sz w:val="20"/>
              </w:rPr>
              <w:t>Half-day</w:t>
            </w:r>
          </w:p>
        </w:tc>
      </w:tr>
      <w:tr>
        <w:tc>
          <w:tcPr>
            <w:tcW w:type="dxa" w:w="2160"/>
            <w:vAlign w:val="center"/>
          </w:tcPr>
          <w:p>
            <w:r/>
            <w:r>
              <w:rPr>
                <w:sz w:val="20"/>
              </w:rPr>
              <w:t>9</w:t>
            </w:r>
          </w:p>
        </w:tc>
        <w:tc>
          <w:tcPr>
            <w:tcW w:type="dxa" w:w="2160"/>
            <w:vAlign w:val="center"/>
          </w:tcPr>
          <w:p>
            <w:r/>
            <w:r>
              <w:rPr>
                <w:sz w:val="20"/>
              </w:rPr>
              <w:t>Implement POPIA data subject endpoints (export + delete account)</w:t>
            </w:r>
          </w:p>
        </w:tc>
        <w:tc>
          <w:tcPr>
            <w:tcW w:type="dxa" w:w="2160"/>
            <w:vAlign w:val="center"/>
          </w:tcPr>
          <w:p>
            <w:r/>
            <w:r>
              <w:rPr>
                <w:sz w:val="20"/>
              </w:rPr>
              <w:t>Engineering</w:t>
            </w:r>
          </w:p>
        </w:tc>
        <w:tc>
          <w:tcPr>
            <w:tcW w:type="dxa" w:w="2160"/>
            <w:vAlign w:val="center"/>
          </w:tcPr>
          <w:p>
            <w:r/>
            <w:r>
              <w:rPr>
                <w:sz w:val="20"/>
              </w:rPr>
              <w:t>2–3 days</w:t>
            </w:r>
          </w:p>
        </w:tc>
      </w:tr>
      <w:tr>
        <w:tc>
          <w:tcPr>
            <w:tcW w:type="dxa" w:w="2160"/>
            <w:vAlign w:val="center"/>
          </w:tcPr>
          <w:p>
            <w:r/>
            <w:r>
              <w:rPr>
                <w:sz w:val="20"/>
              </w:rPr>
              <w:t>10</w:t>
            </w:r>
          </w:p>
        </w:tc>
        <w:tc>
          <w:tcPr>
            <w:tcW w:type="dxa" w:w="2160"/>
            <w:vAlign w:val="center"/>
          </w:tcPr>
          <w:p>
            <w:r/>
            <w:r>
              <w:rPr>
                <w:sz w:val="20"/>
              </w:rPr>
              <w:t>Schedule annual third-party penetration test once user base exceeds 50 customers</w:t>
            </w:r>
          </w:p>
        </w:tc>
        <w:tc>
          <w:tcPr>
            <w:tcW w:type="dxa" w:w="2160"/>
            <w:vAlign w:val="center"/>
          </w:tcPr>
          <w:p>
            <w:r/>
            <w:r>
              <w:rPr>
                <w:sz w:val="20"/>
              </w:rPr>
              <w:t>Leadership</w:t>
            </w:r>
          </w:p>
        </w:tc>
        <w:tc>
          <w:tcPr>
            <w:tcW w:type="dxa" w:w="2160"/>
            <w:vAlign w:val="center"/>
          </w:tcPr>
          <w:p>
            <w:r/>
            <w:r>
              <w:rPr>
                <w:sz w:val="20"/>
              </w:rPr>
              <w:t>External</w:t>
            </w:r>
          </w:p>
        </w:tc>
      </w:tr>
      <w:tr>
        <w:tc>
          <w:tcPr>
            <w:tcW w:type="dxa" w:w="2160"/>
            <w:vAlign w:val="center"/>
          </w:tcPr>
          <w:p>
            <w:r/>
            <w:r>
              <w:rPr>
                <w:sz w:val="20"/>
              </w:rPr>
              <w:t>11</w:t>
            </w:r>
          </w:p>
        </w:tc>
        <w:tc>
          <w:tcPr>
            <w:tcW w:type="dxa" w:w="2160"/>
            <w:vAlign w:val="center"/>
          </w:tcPr>
          <w:p>
            <w:r/>
            <w:r>
              <w:rPr>
                <w:sz w:val="20"/>
              </w:rPr>
              <w:t>Restrict showDays public read to active events only (F-04)</w:t>
            </w:r>
          </w:p>
        </w:tc>
        <w:tc>
          <w:tcPr>
            <w:tcW w:type="dxa" w:w="2160"/>
            <w:vAlign w:val="center"/>
          </w:tcPr>
          <w:p>
            <w:r/>
            <w:r>
              <w:rPr>
                <w:sz w:val="20"/>
              </w:rPr>
              <w:t>Engineering</w:t>
            </w:r>
          </w:p>
        </w:tc>
        <w:tc>
          <w:tcPr>
            <w:tcW w:type="dxa" w:w="2160"/>
            <w:vAlign w:val="center"/>
          </w:tcPr>
          <w:p>
            <w:r/>
            <w:r>
              <w:rPr>
                <w:sz w:val="20"/>
              </w:rPr>
              <w:t>1 hour</w:t>
            </w:r>
          </w:p>
        </w:tc>
      </w:tr>
    </w:tbl>
    <w:p>
      <w:r>
        <w:br w:type="page"/>
      </w:r>
    </w:p>
    <w:p>
      <w:pPr>
        <w:pStyle w:val="Heading1"/>
      </w:pPr>
      <w:r>
        <w:rPr>
          <w:rFonts w:ascii="Calibri" w:hAnsi="Calibri"/>
          <w:color w:val="0B2A4A"/>
        </w:rPr>
        <w:t>7. Conclusion</w:t>
      </w:r>
    </w:p>
    <w:p>
      <w:r>
        <w:rPr>
          <w:rFonts w:ascii="Calibri" w:hAnsi="Calibri"/>
          <w:b w:val="0"/>
          <w:i w:val="0"/>
          <w:sz w:val="22"/>
        </w:rPr>
        <w:t>Thina CRM has closed both High-severity findings from the v1.0 audit and the related Medium webhook gap. The rate limiter is now distributed via Firestore transactions, the inbound webhook is per-source rate-limited, and a Content-Security-Policy is shipping in Report-Only mode pending a short observation window before enforcement.</w:t>
      </w:r>
    </w:p>
    <w:p>
      <w:r>
        <w:rPr>
          <w:rFonts w:ascii="Calibri" w:hAnsi="Calibri"/>
          <w:b w:val="0"/>
          <w:i w:val="0"/>
          <w:sz w:val="22"/>
        </w:rPr>
        <w:t>Three operational items must be completed before the next production deploy: enable the Firestore TTL on the new rateLimits collection (NEW-02), commit and deploy storage.rules (F-03), and flip the CSP from report-only to enforcing once preview traffic is clean (F-02). All other residual risks are either Low severity or accepted trade-offs.</w:t>
      </w:r>
    </w:p>
    <w:p>
      <w:r>
        <w:rPr>
          <w:rFonts w:ascii="Calibri" w:hAnsi="Calibri"/>
          <w:b/>
          <w:i w:val="0"/>
          <w:color w:val="0B2A4A"/>
          <w:sz w:val="22"/>
        </w:rPr>
        <w:t>Final rating: 8.3 / 10 — Strong, with the remaining work scoped to a few hours of operational tasks.</w:t>
      </w:r>
    </w:p>
    <w:p>
      <w:pPr>
        <w:pBdr>
          <w:bottom w:val="single" w:sz="8" w:space="1" w:color="1F6FEB"/>
        </w:pBdr>
      </w:pPr>
    </w:p>
    <w:p>
      <w:r>
        <w:rPr>
          <w:rFonts w:ascii="Calibri" w:hAnsi="Calibri"/>
          <w:b w:val="0"/>
          <w:i/>
          <w:color w:val="555F6D"/>
          <w:sz w:val="18"/>
        </w:rPr>
        <w:t>Document generated by scripts/generate-security-audit.py. Re-run after remediation to refresh ratings.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