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Demo Guide</w:t>
      </w:r>
    </w:p>
    <w:p>
      <w:pPr>
        <w:spacing w:after="60"/>
        <w:jc w:val="center"/>
      </w:pPr>
      <w:r>
        <w:rPr>
          <w:rFonts w:ascii="Aptos" w:cs="Aptos" w:eastAsia="Aptos" w:hAnsi="Aptos"/>
          <w:color w:val="71717A"/>
          <w:sz w:val="24"/>
          <w:szCs w:val="24"/>
        </w:rPr>
        <w:t xml:space="preserve">A structured walkthrough for presenting Thina CRM to stakeholders</w:t>
      </w:r>
    </w:p>
    <w:p>
      <w:pPr>
        <w:spacing w:after="60"/>
        <w:jc w:val="center"/>
      </w:pPr>
      <w:r>
        <w:rPr>
          <w:rFonts w:ascii="Aptos" w:cs="Aptos" w:eastAsia="Aptos" w:hAnsi="Aptos"/>
          <w:color w:val="71717A"/>
          <w:sz w:val="28"/>
          <w:szCs w:val="28"/>
        </w:rPr>
        <w:t xml:space="preserve">Version 1.3.6</w:t>
      </w:r>
    </w:p>
    <w:p>
      <w:pPr>
        <w:spacing w:after="60"/>
        <w:jc w:val="center"/>
      </w:pPr>
      <w:r>
        <w:rPr>
          <w:rFonts w:ascii="Aptos" w:cs="Aptos" w:eastAsia="Aptos" w:hAnsi="Aptos"/>
          <w:color w:val="71717A"/>
          <w:sz w:val="24"/>
          <w:szCs w:val="24"/>
        </w:rPr>
        <w:t xml:space="preserve">26 April 2026</w:t>
      </w:r>
    </w:p>
    <w:p>
      <w:pPr>
        <w:spacing w:before="1600"/>
        <w:jc w:val="center"/>
      </w:pPr>
      <w:r>
        <w:rPr>
          <w:rFonts w:ascii="Aptos" w:cs="Aptos" w:eastAsia="Aptos" w:hAnsi="Aptos"/>
          <w:i/>
          <w:iCs/>
          <w:color w:val="A1A1AA"/>
          <w:sz w:val="24"/>
          <w:szCs w:val="24"/>
        </w:rPr>
        <w:t xml:space="preserve">"Thina" — Zulu/Xhosa for "Us"</w:t>
      </w:r>
    </w:p>
    <w:p>
      <w:r>
        <w:br w:type="page"/>
      </w:r>
    </w:p>
    <w:p>
      <w:pPr>
        <w:pStyle w:val="Heading1"/>
        <w:spacing w:after="120" w:before="300"/>
      </w:pPr>
      <w:r>
        <w:t xml:space="preserve">v1.0.1 — New Demo Talking Points</w:t>
      </w:r>
    </w:p>
    <w:p>
      <w:pPr>
        <w:spacing w:after="100"/>
      </w:pPr>
      <w:r>
        <w:rPr>
          <w:rFonts w:ascii="Aptos" w:cs="Aptos" w:eastAsia="Aptos" w:hAnsi="Aptos"/>
          <w:sz w:val="22"/>
          <w:szCs w:val="22"/>
        </w:rPr>
        <w:t xml:space="preserve">The following features are new in v1.0.1. Add these to your demo flow.</w:t>
      </w:r>
    </w:p>
    <w:p>
      <w:pPr>
        <w:pStyle w:val="Heading2"/>
        <w:spacing w:after="120" w:before="300"/>
      </w:pPr>
      <w:r>
        <w:t xml:space="preserve">Agent Assignment Badge</w:t>
      </w:r>
    </w:p>
    <w:p>
      <w:pPr>
        <w:spacing w:after="100"/>
      </w:pPr>
      <w:r>
        <w:rPr>
          <w:rFonts w:ascii="Aptos" w:cs="Aptos" w:eastAsia="Aptos" w:hAnsi="Aptos"/>
          <w:sz w:val="22"/>
          <w:szCs w:val="22"/>
        </w:rPr>
        <w:t xml:space="preserve">Show the agent badge on any lead or contact card. Say: 'Every lead is automatically assigned to the agent who first engages. This ensures accountability — no leads fall through the cracks.'</w:t>
      </w:r>
    </w:p>
    <w:p>
      <w:pPr>
        <w:pStyle w:val="Heading2"/>
        <w:spacing w:after="120" w:before="300"/>
      </w:pPr>
      <w:r>
        <w:t xml:space="preserve">Real SMS Sending</w:t>
      </w:r>
    </w:p>
    <w:p>
      <w:pPr>
        <w:spacing w:after="100"/>
      </w:pPr>
      <w:r>
        <w:rPr>
          <w:rFonts w:ascii="Aptos" w:cs="Aptos" w:eastAsia="Aptos" w:hAnsi="Aptos"/>
          <w:sz w:val="22"/>
          <w:szCs w:val="22"/>
        </w:rPr>
        <w:t xml:space="preserve">Navigate to Messaging and compose a real SMS. Say: 'Thina integrates directly with BulkSMS.co.za, South Africa's leading SMS gateway. Agents can send SMS from the CRM and track delivery status in real time.'</w:t>
      </w:r>
    </w:p>
    <w:p>
      <w:pPr>
        <w:pStyle w:val="ListParagraph"/>
        <w:numPr>
          <w:ilvl w:val="0"/>
          <w:numId w:val="1"/>
        </w:numPr>
        <w:spacing w:after="40"/>
      </w:pPr>
      <w:r>
        <w:rPr>
          <w:rFonts w:ascii="Aptos" w:cs="Aptos" w:eastAsia="Aptos" w:hAnsi="Aptos"/>
          <w:sz w:val="22"/>
          <w:szCs w:val="22"/>
        </w:rPr>
        <w:t xml:space="preserve">Tip: For a live demo, send a test SMS to your own phone and show the delivery confirmation.</w:t>
      </w:r>
    </w:p>
    <w:p>
      <w:pPr>
        <w:pStyle w:val="Heading2"/>
        <w:spacing w:after="120" w:before="300"/>
      </w:pPr>
      <w:r>
        <w:t xml:space="preserve">Document Upload</w:t>
      </w:r>
    </w:p>
    <w:p>
      <w:pPr>
        <w:spacing w:after="100"/>
      </w:pPr>
      <w:r>
        <w:rPr>
          <w:rFonts w:ascii="Aptos" w:cs="Aptos" w:eastAsia="Aptos" w:hAnsi="Aptos"/>
          <w:sz w:val="22"/>
          <w:szCs w:val="22"/>
        </w:rPr>
        <w:t xml:space="preserve">Navigate to Documents and show the upload flow. Say: 'All transaction documents — FICA, OTPs, mandates, bond applications — can be uploaded and categorised directly in the CRM. Files are stored securely in Firebase Storage with per-agent access control.'</w:t>
      </w:r>
    </w:p>
    <w:p>
      <w:pPr>
        <w:pStyle w:val="Heading2"/>
        <w:spacing w:after="120" w:before="300"/>
      </w:pPr>
      <w:r>
        <w:t xml:space="preserve">Pipeline Click-Through</w:t>
      </w:r>
    </w:p>
    <w:p>
      <w:pPr>
        <w:spacing w:after="100"/>
      </w:pPr>
      <w:r>
        <w:rPr>
          <w:rFonts w:ascii="Aptos" w:cs="Aptos" w:eastAsia="Aptos" w:hAnsi="Aptos"/>
          <w:sz w:val="22"/>
          <w:szCs w:val="22"/>
        </w:rPr>
        <w:t xml:space="preserve">On the Pipeline Board, click a lead card to navigate to the detail page. Say: 'Agents can click any card on the pipeline board to jump straight to the detail page. No more searching — one click from overview to action.'</w:t>
      </w:r>
    </w:p>
    <w:p>
      <w:pPr>
        <w:pStyle w:val="Heading2"/>
        <w:spacing w:after="120" w:before="300"/>
      </w:pPr>
      <w:r>
        <w:t xml:space="preserve">Inbound Webhook (v1.0.1)</w:t>
      </w:r>
    </w:p>
    <w:p>
      <w:pPr>
        <w:spacing w:after="100"/>
      </w:pPr>
      <w:r>
        <w:rPr>
          <w:rFonts w:ascii="Aptos" w:cs="Aptos" w:eastAsia="Aptos" w:hAnsi="Aptos"/>
          <w:sz w:val="22"/>
          <w:szCs w:val="22"/>
        </w:rPr>
        <w:t xml:space="preserve">If demoing to a technical audience, mention: 'Property24 and Private Property leads can now be injected automatically via a secure webhook with HMAC-SHA256 verification. Leads appear in the Inbound queue within seconds of the portal notification.'</w:t>
      </w:r>
    </w:p>
    <w:p>
      <w:pPr>
        <w:pStyle w:val="Heading1"/>
        <w:spacing w:after="120" w:before="300"/>
      </w:pPr>
      <w:r>
        <w:t xml:space="preserve">v1.1.0 — New Demo Talking Points</w:t>
      </w:r>
    </w:p>
    <w:p>
      <w:pPr>
        <w:spacing w:after="100"/>
      </w:pPr>
      <w:r>
        <w:rPr>
          <w:rFonts w:ascii="Aptos" w:cs="Aptos" w:eastAsia="Aptos" w:hAnsi="Aptos"/>
          <w:sz w:val="22"/>
          <w:szCs w:val="22"/>
        </w:rPr>
        <w:t xml:space="preserve">The following features are new in v1.1.0. Add these to your demo flow.</w:t>
      </w:r>
    </w:p>
    <w:p>
      <w:pPr>
        <w:pStyle w:val="Heading2"/>
        <w:spacing w:after="120" w:before="300"/>
      </w:pPr>
      <w:r>
        <w:t xml:space="preserve">Gemini AI CMA Research</w:t>
      </w:r>
    </w:p>
    <w:p>
      <w:pPr>
        <w:spacing w:after="100"/>
      </w:pPr>
      <w:r>
        <w:rPr>
          <w:rFonts w:ascii="Aptos" w:cs="Aptos" w:eastAsia="Aptos" w:hAnsi="Aptos"/>
          <w:sz w:val="22"/>
          <w:szCs w:val="22"/>
        </w:rPr>
        <w:t xml:space="preserve">Navigate to CMA and generate a report. Say: 'Thina now uses Google Gemini AI with live search grounding to generate Comparative Market Analysis reports. Enter an address and the AI researches comparable sales, neighbourhood data, and generates a pricing recommendation — all in seconds.'</w:t>
      </w:r>
    </w:p>
    <w:p>
      <w:pPr>
        <w:pStyle w:val="ListParagraph"/>
        <w:numPr>
          <w:ilvl w:val="0"/>
          <w:numId w:val="1"/>
        </w:numPr>
        <w:spacing w:after="40"/>
      </w:pPr>
      <w:r>
        <w:rPr>
          <w:rFonts w:ascii="Aptos" w:cs="Aptos" w:eastAsia="Aptos" w:hAnsi="Aptos"/>
          <w:sz w:val="22"/>
          <w:szCs w:val="22"/>
        </w:rPr>
        <w:t xml:space="preserve">Tip: Show the PDF download with AI-generated neighbourhood insights and comparable sales table.</w:t>
      </w:r>
    </w:p>
    <w:p>
      <w:pPr>
        <w:pStyle w:val="Heading2"/>
        <w:spacing w:after="120" w:before="300"/>
      </w:pPr>
      <w:r>
        <w:t xml:space="preserve">Buyer-Match Engine</w:t>
      </w:r>
    </w:p>
    <w:p>
      <w:pPr>
        <w:spacing w:after="100"/>
      </w:pPr>
      <w:r>
        <w:rPr>
          <w:rFonts w:ascii="Aptos" w:cs="Aptos" w:eastAsia="Aptos" w:hAnsi="Aptos"/>
          <w:sz w:val="22"/>
          <w:szCs w:val="22"/>
        </w:rPr>
        <w:t xml:space="preserve">Navigate to Buyer Match. Say: 'Our algorithmic matching engine scores buyers against listings across price, location, bedrooms, property type, and amenities. Agents instantly see which buyers match which properties.'</w:t>
      </w:r>
    </w:p>
    <w:p>
      <w:pPr>
        <w:pStyle w:val="Heading2"/>
        <w:spacing w:after="120" w:before="300"/>
      </w:pPr>
      <w:r>
        <w:t xml:space="preserve">Compliance Dashboard</w:t>
      </w:r>
    </w:p>
    <w:p>
      <w:pPr>
        <w:spacing w:after="100"/>
      </w:pPr>
      <w:r>
        <w:rPr>
          <w:rFonts w:ascii="Aptos" w:cs="Aptos" w:eastAsia="Aptos" w:hAnsi="Aptos"/>
          <w:sz w:val="22"/>
          <w:szCs w:val="22"/>
        </w:rPr>
        <w:t xml:space="preserve">Navigate to Compliance. Say: 'The compliance dashboard surfaces FICA expiry, missing documents, and regulatory checklists — ensuring every transaction stays audit-ready.'</w:t>
      </w:r>
    </w:p>
    <w:p>
      <w:pPr>
        <w:pStyle w:val="Heading2"/>
        <w:spacing w:after="120" w:before="300"/>
      </w:pPr>
      <w:r>
        <w:t xml:space="preserve">Lead ROI Analytics</w:t>
      </w:r>
    </w:p>
    <w:p>
      <w:pPr>
        <w:spacing w:after="100"/>
      </w:pPr>
      <w:r>
        <w:rPr>
          <w:rFonts w:ascii="Aptos" w:cs="Aptos" w:eastAsia="Aptos" w:hAnsi="Aptos"/>
          <w:sz w:val="22"/>
          <w:szCs w:val="22"/>
        </w:rPr>
        <w:t xml:space="preserve">Navigate to Lead ROI. Say: 'Principals can now see exactly which lead sources deliver the best return on investment — cost-per-lead, conversion rates, and revenue attribution broken down by source.'</w:t>
      </w:r>
    </w:p>
    <w:p>
      <w:pPr>
        <w:pStyle w:val="Heading2"/>
        <w:spacing w:after="120" w:before="300"/>
      </w:pPr>
      <w:r>
        <w:t xml:space="preserve">Speed-to-Lead Metrics</w:t>
      </w:r>
    </w:p>
    <w:p>
      <w:pPr>
        <w:spacing w:after="100"/>
      </w:pPr>
      <w:r>
        <w:rPr>
          <w:rFonts w:ascii="Aptos" w:cs="Aptos" w:eastAsia="Aptos" w:hAnsi="Aptos"/>
          <w:sz w:val="22"/>
          <w:szCs w:val="22"/>
        </w:rPr>
        <w:t xml:space="preserve">Navigate to Speed to Lead. Say: 'We measure response time from lead creation to first contact. Agents and managers can see average response times and SLA breach alerts.'</w:t>
      </w:r>
    </w:p>
    <w:p>
      <w:pPr>
        <w:pStyle w:val="Heading1"/>
        <w:spacing w:after="120" w:before="300"/>
      </w:pPr>
      <w:r>
        <w:t xml:space="preserve">v1.3.x — New Demo Talking Points</w:t>
      </w:r>
    </w:p>
    <w:p>
      <w:pPr>
        <w:pStyle w:val="Heading2"/>
        <w:spacing w:after="120" w:before="300"/>
      </w:pPr>
      <w:r>
        <w:t xml:space="preserve">Agent Profile &amp; Branded CMAs (v1.3.6)</w:t>
      </w:r>
    </w:p>
    <w:p>
      <w:pPr>
        <w:spacing w:after="100"/>
      </w:pPr>
      <w:r>
        <w:rPr>
          <w:rFonts w:ascii="Aptos" w:cs="Aptos" w:eastAsia="Aptos" w:hAnsi="Aptos"/>
          <w:sz w:val="22"/>
          <w:szCs w:val="22"/>
        </w:rPr>
        <w:t xml:space="preserve">Open Settings → Agent Profile and show the form (photo + agency logo + FFC#). Then download any CMA PDF and flip to the cover and the last page. Say: 'Every agent has their own branded profile — photo, agency logo, FFC number, contact details. It flows automatically onto every CMA we produce. And because we snapshot the agent's details onto each saved report, historical CMAs always show the correct preparer — even if the agent later updates their profile or leaves.'</w:t>
      </w:r>
    </w:p>
    <w:p>
      <w:pPr>
        <w:pStyle w:val="ListParagraph"/>
        <w:numPr>
          <w:ilvl w:val="0"/>
          <w:numId w:val="1"/>
        </w:numPr>
        <w:spacing w:after="40"/>
      </w:pPr>
      <w:r>
        <w:rPr>
          <w:rFonts w:ascii="Aptos" w:cs="Aptos" w:eastAsia="Aptos" w:hAnsi="Aptos"/>
          <w:sz w:val="22"/>
          <w:szCs w:val="22"/>
        </w:rPr>
        <w:t xml:space="preserve">Tip: have a demo agent profile fully populated before the demo so the PDF looks polished.</w:t>
      </w:r>
    </w:p>
    <w:p>
      <w:pPr>
        <w:pStyle w:val="Heading2"/>
        <w:spacing w:after="120" w:before="300"/>
      </w:pPr>
      <w:r>
        <w:t xml:space="preserve">Address Autocomplete (v1.3.4)</w:t>
      </w:r>
    </w:p>
    <w:p>
      <w:pPr>
        <w:spacing w:after="100"/>
      </w:pPr>
      <w:r>
        <w:rPr>
          <w:rFonts w:ascii="Aptos" w:cs="Aptos" w:eastAsia="Aptos" w:hAnsi="Aptos"/>
          <w:sz w:val="22"/>
          <w:szCs w:val="22"/>
        </w:rPr>
        <w:t xml:space="preserve">On the Properties form or the CMA form, type a partial address and pick from the dropdown. Say: 'We use Google Places autocomplete restricted to South Africa, and we capture the exact GPS coordinates. For CMAs, those coordinates are passed to the AI so the comparables it researches are properly local — not just based on a typed suburb name.'</w:t>
      </w:r>
    </w:p>
    <w:p>
      <w:pPr>
        <w:pStyle w:val="Heading2"/>
        <w:spacing w:after="120" w:before="300"/>
      </w:pPr>
      <w:r>
        <w:t xml:space="preserve">The New CMA PDF (v1.3.5)</w:t>
      </w:r>
    </w:p>
    <w:p>
      <w:pPr>
        <w:spacing w:after="100"/>
      </w:pPr>
      <w:r>
        <w:rPr>
          <w:rFonts w:ascii="Aptos" w:cs="Aptos" w:eastAsia="Aptos" w:hAnsi="Aptos"/>
          <w:sz w:val="22"/>
          <w:szCs w:val="22"/>
        </w:rPr>
        <w:t xml:space="preserve">Open any CMA report and click 'Download PDF'. Walk through it page by page: cover, executive summary with KPI tiles and value-range bar, subject tearsheet, per-comparable detailed cards, comparison matrix, price distribution chart, three-tier pricing strategy, agent contact card. Say: 'This output is the equal of anything the major franchises produce — it gives our agents a real edge in winning mandates.'</w:t>
      </w:r>
    </w:p>
    <w:p>
      <w:pPr>
        <w:pStyle w:val="Heading2"/>
        <w:spacing w:after="120" w:before="300"/>
      </w:pPr>
      <w:r>
        <w:t xml:space="preserve">Enterprise-Grade Security (v1.3.5)</w:t>
      </w:r>
    </w:p>
    <w:p>
      <w:pPr>
        <w:spacing w:after="100"/>
      </w:pPr>
      <w:r>
        <w:rPr>
          <w:rFonts w:ascii="Aptos" w:cs="Aptos" w:eastAsia="Aptos" w:hAnsi="Aptos"/>
          <w:sz w:val="22"/>
          <w:szCs w:val="22"/>
        </w:rPr>
        <w:t xml:space="preserve">For technical / IT-buyer audiences, mention: 'We've completed a full security sprint — distributed Firestore-backed rate limiting that scales across all instances, Content-Security-Policy in enforcing mode, HMAC-signed webhooks, and full Sentry observability. The independent audit rates us at 9.0 out of 10.'</w:t>
      </w:r>
    </w:p>
    <w:p>
      <w:pPr>
        <w:pStyle w:val="Heading2"/>
        <w:spacing w:after="120" w:before="300"/>
      </w:pPr>
      <w:r>
        <w:t xml:space="preserve">AI-Grounded CMA Research</w:t>
      </w:r>
    </w:p>
    <w:p>
      <w:pPr>
        <w:spacing w:after="100"/>
      </w:pPr>
      <w:r>
        <w:rPr>
          <w:rFonts w:ascii="Aptos" w:cs="Aptos" w:eastAsia="Aptos" w:hAnsi="Aptos"/>
          <w:sz w:val="22"/>
          <w:szCs w:val="22"/>
        </w:rPr>
        <w:t xml:space="preserve">On the CMA page, click 'Research with Gemini'. Say: 'We use Google Gemini with live Search grounding, and now the AI is anchored on the exact GPS coordinates of the subject property — so the comparables it surfaces are genuinely nearby and recent.'</w:t>
      </w:r>
    </w:p>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v1.3.6 • Generated 26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Demo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Demo Guide</dc:title>
  <dc:creator>Thina CRM Team</dc:creator>
  <dc:description>Demo Guide — Thina CRM Documentation</dc:description>
  <cp:lastModifiedBy>Un-named</cp:lastModifiedBy>
  <cp:revision>1</cp:revision>
  <dcterms:created xsi:type="dcterms:W3CDTF">2026-04-26T20:42:27.005Z</dcterms:created>
  <dcterms:modified xsi:type="dcterms:W3CDTF">2026-04-26T20:42:27.015Z</dcterms:modified>
</cp:coreProperties>
</file>

<file path=docProps/custom.xml><?xml version="1.0" encoding="utf-8"?>
<Properties xmlns="http://schemas.openxmlformats.org/officeDocument/2006/custom-properties" xmlns:vt="http://schemas.openxmlformats.org/officeDocument/2006/docPropsVTypes"/>
</file>