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rFonts w:ascii="Aptos" w:cs="Aptos" w:eastAsia="Aptos" w:hAnsi="Aptos"/>
          <w:b/>
          <w:bCs/>
          <w:color w:val="4F46E5"/>
          <w:sz w:val="72"/>
          <w:szCs w:val="72"/>
        </w:rPr>
        <w:t xml:space="preserve">THINA CRM</w:t>
      </w:r>
    </w:p>
    <w:p>
      <w:pPr>
        <w:spacing w:after="100"/>
        <w:jc w:val="center"/>
      </w:pPr>
      <w:r>
        <w:rPr>
          <w:rFonts w:ascii="Aptos" w:cs="Aptos" w:eastAsia="Aptos" w:hAnsi="Aptos"/>
          <w:color w:val="52525B"/>
          <w:sz w:val="36"/>
          <w:szCs w:val="36"/>
        </w:rPr>
        <w:t xml:space="preserve">Marketing &amp; Feature Guide</w:t>
      </w:r>
    </w:p>
    <w:p>
      <w:pPr>
        <w:spacing w:after="60"/>
        <w:jc w:val="center"/>
      </w:pPr>
      <w:r>
        <w:rPr>
          <w:rFonts w:ascii="Aptos" w:cs="Aptos" w:eastAsia="Aptos" w:hAnsi="Aptos"/>
          <w:color w:val="71717A"/>
          <w:sz w:val="24"/>
          <w:szCs w:val="24"/>
        </w:rPr>
        <w:t xml:space="preserve">Audience-segmented feature overview for agency principals, agents, and clients</w:t>
      </w:r>
    </w:p>
    <w:p>
      <w:pPr>
        <w:spacing w:after="60"/>
        <w:jc w:val="center"/>
      </w:pPr>
      <w:r>
        <w:rPr>
          <w:rFonts w:ascii="Aptos" w:cs="Aptos" w:eastAsia="Aptos" w:hAnsi="Aptos"/>
          <w:color w:val="71717A"/>
          <w:sz w:val="28"/>
          <w:szCs w:val="28"/>
        </w:rPr>
        <w:t xml:space="preserve">Version 1.3.6</w:t>
      </w:r>
    </w:p>
    <w:p>
      <w:pPr>
        <w:spacing w:after="60"/>
        <w:jc w:val="center"/>
      </w:pPr>
      <w:r>
        <w:rPr>
          <w:rFonts w:ascii="Aptos" w:cs="Aptos" w:eastAsia="Aptos" w:hAnsi="Aptos"/>
          <w:color w:val="71717A"/>
          <w:sz w:val="24"/>
          <w:szCs w:val="24"/>
        </w:rPr>
        <w:t xml:space="preserve">26 April 2026</w:t>
      </w:r>
    </w:p>
    <w:p>
      <w:pPr>
        <w:spacing w:before="1600"/>
        <w:jc w:val="center"/>
      </w:pPr>
      <w:r>
        <w:rPr>
          <w:rFonts w:ascii="Aptos" w:cs="Aptos" w:eastAsia="Aptos" w:hAnsi="Aptos"/>
          <w:i/>
          <w:iCs/>
          <w:color w:val="A1A1AA"/>
          <w:sz w:val="24"/>
          <w:szCs w:val="24"/>
        </w:rPr>
        <w:t xml:space="preserve">"Thina" — Zulu/Xhosa for "Us"</w:t>
      </w:r>
    </w:p>
    <w:p>
      <w:r>
        <w:br w:type="page"/>
      </w:r>
    </w:p>
    <w:p>
      <w:pPr>
        <w:pStyle w:val="Heading1"/>
        <w:spacing w:after="120" w:before="300"/>
      </w:pPr>
      <w:r>
        <w:t xml:space="preserve">v1.0.1 — New Capabilities</w:t>
      </w:r>
    </w:p>
    <w:p>
      <w:pPr>
        <w:spacing w:after="100"/>
      </w:pPr>
      <w:r>
        <w:rPr>
          <w:rFonts w:ascii="Aptos" w:cs="Aptos" w:eastAsia="Aptos" w:hAnsi="Aptos"/>
          <w:sz w:val="22"/>
          <w:szCs w:val="22"/>
        </w:rPr>
        <w:t xml:space="preserve">The following capabilities have been added in v1.0.1, moving from 'planned' to 'live' status.</w:t>
      </w:r>
    </w:p>
    <w:p>
      <w:pPr>
        <w:pStyle w:val="Heading2"/>
        <w:spacing w:after="120" w:before="300"/>
      </w:pPr>
      <w:r>
        <w:t xml:space="preserve">Now Live: BulkSMS API Integration</w:t>
      </w:r>
    </w:p>
    <w:p>
      <w:pPr>
        <w:spacing w:after="100"/>
      </w:pPr>
      <w:r>
        <w:rPr>
          <w:rFonts w:ascii="Aptos" w:cs="Aptos" w:eastAsia="Aptos" w:hAnsi="Aptos"/>
          <w:sz w:val="22"/>
          <w:szCs w:val="22"/>
        </w:rPr>
        <w:t xml:space="preserve">Thina CRM now sends real SMS messages through the BulkSMS.co.za API — South Africa's leading SMS gateway. Agents can compose and send SMS directly from the Messaging page, with delivery status tracking and full message history.</w:t>
      </w:r>
    </w:p>
    <w:p>
      <w:pPr>
        <w:pStyle w:val="Heading2"/>
        <w:spacing w:after="120" w:before="300"/>
      </w:pPr>
      <w:r>
        <w:t xml:space="preserve">Now Live: Automated Portal Lead Injection</w:t>
      </w:r>
    </w:p>
    <w:p>
      <w:pPr>
        <w:spacing w:after="100"/>
      </w:pPr>
      <w:r>
        <w:rPr>
          <w:rFonts w:ascii="Aptos" w:cs="Aptos" w:eastAsia="Aptos" w:hAnsi="Aptos"/>
          <w:sz w:val="22"/>
          <w:szCs w:val="22"/>
        </w:rPr>
        <w:t xml:space="preserve">Property portal leads from Property24 and Private Property are now injected automatically via a secure webhook endpoint with HMAC-SHA256 signature verification. No more manually copying leads from emails — they appear instantly in the Inbound Leads queue for review and acceptance.</w:t>
      </w:r>
    </w:p>
    <w:p>
      <w:pPr>
        <w:pStyle w:val="Heading2"/>
        <w:spacing w:after="120" w:before="300"/>
      </w:pPr>
      <w:r>
        <w:t xml:space="preserve">Now Live: Customer-Agent Assignment</w:t>
      </w:r>
    </w:p>
    <w:p>
      <w:pPr>
        <w:spacing w:after="100"/>
      </w:pPr>
      <w:r>
        <w:rPr>
          <w:rFonts w:ascii="Aptos" w:cs="Aptos" w:eastAsia="Aptos" w:hAnsi="Aptos"/>
          <w:sz w:val="22"/>
          <w:szCs w:val="22"/>
        </w:rPr>
        <w:t xml:space="preserve">Every lead and contact is now assigned to a specific agent with lock-on-first-touch ownership. Agent badges appear on cards throughout the system, ensuring clear accountability and preventing leads from falling through the cracks.</w:t>
      </w:r>
    </w:p>
    <w:p>
      <w:pPr>
        <w:pStyle w:val="Heading2"/>
        <w:spacing w:after="120" w:before="300"/>
      </w:pPr>
      <w:r>
        <w:t xml:space="preserve">Now Live: Firebase Storage Document Vault</w:t>
      </w:r>
    </w:p>
    <w:p>
      <w:pPr>
        <w:spacing w:after="100"/>
      </w:pPr>
      <w:r>
        <w:rPr>
          <w:rFonts w:ascii="Aptos" w:cs="Aptos" w:eastAsia="Aptos" w:hAnsi="Aptos"/>
          <w:sz w:val="22"/>
          <w:szCs w:val="22"/>
        </w:rPr>
        <w:t xml:space="preserve">The Document Vault now supports real file uploads to Firebase Storage with security rules scoped by agent. Upload FICA documents, OTPs, mandates, and bond applications with automatic categorisation and metadata tagging.</w:t>
      </w:r>
    </w:p>
    <w:p>
      <w:pPr>
        <w:pStyle w:val="Heading2"/>
        <w:spacing w:after="120" w:before="300"/>
      </w:pPr>
      <w:r>
        <w:t xml:space="preserve">Now Live: Pipeline Click-Through</w:t>
      </w:r>
    </w:p>
    <w:p>
      <w:pPr>
        <w:spacing w:after="100"/>
      </w:pPr>
      <w:r>
        <w:rPr>
          <w:rFonts w:ascii="Aptos" w:cs="Aptos" w:eastAsia="Aptos" w:hAnsi="Aptos"/>
          <w:sz w:val="22"/>
          <w:szCs w:val="22"/>
        </w:rPr>
        <w:t xml:space="preserve">Pipeline board cards are now fully interactive — click any lead or transaction card to navigate directly to its detail page for faster workflow.</w:t>
      </w:r>
    </w:p>
    <w:p>
      <w:pPr>
        <w:pStyle w:val="Heading2"/>
        <w:spacing w:after="120" w:before="300"/>
      </w:pPr>
      <w:r>
        <w:t xml:space="preserve">Updated Platform Summary</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16</w:t>
            </w:r>
          </w:p>
        </w:tc>
      </w:tr>
      <w:tr>
        <w:tc>
          <w:p>
            <w:r>
              <w:rPr>
                <w:rFonts w:ascii="Aptos" w:cs="Aptos" w:eastAsia="Aptos" w:hAnsi="Aptos"/>
                <w:sz w:val="20"/>
                <w:szCs w:val="20"/>
              </w:rPr>
              <w:t xml:space="preserve">Database Functions</w:t>
            </w:r>
          </w:p>
        </w:tc>
        <w:tc>
          <w:p>
            <w:r>
              <w:rPr>
                <w:rFonts w:ascii="Aptos" w:cs="Aptos" w:eastAsia="Aptos" w:hAnsi="Aptos"/>
                <w:sz w:val="20"/>
                <w:szCs w:val="20"/>
              </w:rPr>
              <w:t xml:space="preserve">76+</w:t>
            </w:r>
          </w:p>
        </w:tc>
      </w:tr>
      <w:tr>
        <w:tc>
          <w:p>
            <w:r>
              <w:rPr>
                <w:rFonts w:ascii="Aptos" w:cs="Aptos" w:eastAsia="Aptos" w:hAnsi="Aptos"/>
                <w:sz w:val="20"/>
                <w:szCs w:val="20"/>
              </w:rPr>
              <w:t xml:space="preserve">Page Routes</w:t>
            </w:r>
          </w:p>
        </w:tc>
        <w:tc>
          <w:p>
            <w:r>
              <w:rPr>
                <w:rFonts w:ascii="Aptos" w:cs="Aptos" w:eastAsia="Aptos" w:hAnsi="Aptos"/>
                <w:sz w:val="20"/>
                <w:szCs w:val="20"/>
              </w:rPr>
              <w:t xml:space="preserve">26</w:t>
            </w:r>
          </w:p>
        </w:tc>
      </w:tr>
      <w:tr>
        <w:tc>
          <w:p>
            <w:r>
              <w:rPr>
                <w:rFonts w:ascii="Aptos" w:cs="Aptos" w:eastAsia="Aptos" w:hAnsi="Aptos"/>
                <w:sz w:val="20"/>
                <w:szCs w:val="20"/>
              </w:rPr>
              <w:t xml:space="preserve">API Routes</w:t>
            </w:r>
          </w:p>
        </w:tc>
        <w:tc>
          <w:p>
            <w:r>
              <w:rPr>
                <w:rFonts w:ascii="Aptos" w:cs="Aptos" w:eastAsia="Aptos" w:hAnsi="Aptos"/>
                <w:sz w:val="20"/>
                <w:szCs w:val="20"/>
              </w:rPr>
              <w:t xml:space="preserve">4 (health, sms/send, leads/inbound, cma/research)</w:t>
            </w:r>
          </w:p>
        </w:tc>
      </w:tr>
      <w:tr>
        <w:tc>
          <w:p>
            <w:r>
              <w:rPr>
                <w:rFonts w:ascii="Aptos" w:cs="Aptos" w:eastAsia="Aptos" w:hAnsi="Aptos"/>
                <w:sz w:val="20"/>
                <w:szCs w:val="20"/>
              </w:rPr>
              <w:t xml:space="preserve">Seed Records</w:t>
            </w:r>
          </w:p>
        </w:tc>
        <w:tc>
          <w:p>
            <w:r>
              <w:rPr>
                <w:rFonts w:ascii="Aptos" w:cs="Aptos" w:eastAsia="Aptos" w:hAnsi="Aptos"/>
                <w:sz w:val="20"/>
                <w:szCs w:val="20"/>
              </w:rPr>
              <w:t xml:space="preserve">1,604</w:t>
            </w:r>
          </w:p>
        </w:tc>
      </w:tr>
      <w:tr>
        <w:tc>
          <w:p>
            <w:r>
              <w:rPr>
                <w:rFonts w:ascii="Aptos" w:cs="Aptos" w:eastAsia="Aptos" w:hAnsi="Aptos"/>
                <w:sz w:val="20"/>
                <w:szCs w:val="20"/>
              </w:rPr>
              <w:t xml:space="preserve">Unit Tests</w:t>
            </w:r>
          </w:p>
        </w:tc>
        <w:tc>
          <w:p>
            <w:r>
              <w:rPr>
                <w:rFonts w:ascii="Aptos" w:cs="Aptos" w:eastAsia="Aptos" w:hAnsi="Aptos"/>
                <w:sz w:val="20"/>
                <w:szCs w:val="20"/>
              </w:rPr>
              <w:t xml:space="preserve">83</w:t>
            </w:r>
          </w:p>
        </w:tc>
      </w:tr>
      <w:tr>
        <w:tc>
          <w:p>
            <w:r>
              <w:rPr>
                <w:rFonts w:ascii="Aptos" w:cs="Aptos" w:eastAsia="Aptos" w:hAnsi="Aptos"/>
                <w:sz w:val="20"/>
                <w:szCs w:val="20"/>
              </w:rPr>
              <w:t xml:space="preserve">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172</w:t>
            </w:r>
          </w:p>
        </w:tc>
      </w:tr>
    </w:tbl>
    <w:p>
      <w:pPr>
        <w:spacing w:after="40"/>
      </w:pPr>
    </w:p>
    <w:p>
      <w:pPr>
        <w:pStyle w:val="Heading1"/>
        <w:spacing w:after="120" w:before="300"/>
      </w:pPr>
      <w:r>
        <w:t xml:space="preserve">v1.1.0 — New Capabilities</w:t>
      </w:r>
    </w:p>
    <w:p>
      <w:pPr>
        <w:spacing w:after="100"/>
      </w:pPr>
      <w:r>
        <w:rPr>
          <w:rFonts w:ascii="Aptos" w:cs="Aptos" w:eastAsia="Aptos" w:hAnsi="Aptos"/>
          <w:sz w:val="22"/>
          <w:szCs w:val="22"/>
        </w:rPr>
        <w:t xml:space="preserve">The following capabilities have been added in v1.1.0, delivering AI-powered analytics and advanced operational tooling.</w:t>
      </w:r>
    </w:p>
    <w:p>
      <w:pPr>
        <w:pStyle w:val="Heading2"/>
        <w:spacing w:after="120" w:before="300"/>
      </w:pPr>
      <w:r>
        <w:t xml:space="preserve">Now Live: Gemini AI CMA Research</w:t>
      </w:r>
    </w:p>
    <w:p>
      <w:pPr>
        <w:spacing w:after="100"/>
      </w:pPr>
      <w:r>
        <w:rPr>
          <w:rFonts w:ascii="Aptos" w:cs="Aptos" w:eastAsia="Aptos" w:hAnsi="Aptos"/>
          <w:sz w:val="22"/>
          <w:szCs w:val="22"/>
        </w:rPr>
        <w:t xml:space="preserve">Thina CRM now generates Comparative Market Analysis reports powered by Google Gemini 2.0 Flash with live Google Search grounding. Agents enter a property address and receive AI-researched neighbourhood insights, comparable sales data, and pricing recommendations — delivered as a downloadable PDF.</w:t>
      </w:r>
    </w:p>
    <w:p>
      <w:pPr>
        <w:pStyle w:val="Heading2"/>
        <w:spacing w:after="120" w:before="300"/>
      </w:pPr>
      <w:r>
        <w:t xml:space="preserve">Now Live: Buyer-Match Engine</w:t>
      </w:r>
    </w:p>
    <w:p>
      <w:pPr>
        <w:spacing w:after="100"/>
      </w:pPr>
      <w:r>
        <w:rPr>
          <w:rFonts w:ascii="Aptos" w:cs="Aptos" w:eastAsia="Aptos" w:hAnsi="Aptos"/>
          <w:sz w:val="22"/>
          <w:szCs w:val="22"/>
        </w:rPr>
        <w:t xml:space="preserve">An algorithmic matching system pairs buyer requirements with available listings. Match scores are computed across price, location, bedrooms, property type, and amenities — helping agents connect the right buyer to the right property instantly.</w:t>
      </w:r>
    </w:p>
    <w:p>
      <w:pPr>
        <w:pStyle w:val="Heading2"/>
        <w:spacing w:after="120" w:before="300"/>
      </w:pPr>
      <w:r>
        <w:t xml:space="preserve">Now Live: Compliance Dashboard</w:t>
      </w:r>
    </w:p>
    <w:p>
      <w:pPr>
        <w:spacing w:after="100"/>
      </w:pPr>
      <w:r>
        <w:rPr>
          <w:rFonts w:ascii="Aptos" w:cs="Aptos" w:eastAsia="Aptos" w:hAnsi="Aptos"/>
          <w:sz w:val="22"/>
          <w:szCs w:val="22"/>
        </w:rPr>
        <w:t xml:space="preserve">A centralised compliance view surfaces FICA expiry, missing mandatory documents, and regulatory checklist status. Every active transaction is monitored for compliance readiness.</w:t>
      </w:r>
    </w:p>
    <w:p>
      <w:pPr>
        <w:pStyle w:val="Heading2"/>
        <w:spacing w:after="120" w:before="300"/>
      </w:pPr>
      <w:r>
        <w:t xml:space="preserve">Now Live: Lead ROI Analytics</w:t>
      </w:r>
    </w:p>
    <w:p>
      <w:pPr>
        <w:spacing w:after="100"/>
      </w:pPr>
      <w:r>
        <w:rPr>
          <w:rFonts w:ascii="Aptos" w:cs="Aptos" w:eastAsia="Aptos" w:hAnsi="Aptos"/>
          <w:sz w:val="22"/>
          <w:szCs w:val="22"/>
        </w:rPr>
        <w:t xml:space="preserve">Source-level ROI reporting tracks cost-per-lead, conversion rates, and revenue attribution across Portal, Referral, Walk-in, Digital Ad, Show Day, and Social channels. Principals can instantly see which sources deliver the best return.</w:t>
      </w:r>
    </w:p>
    <w:p>
      <w:pPr>
        <w:pStyle w:val="Heading2"/>
        <w:spacing w:after="120" w:before="300"/>
      </w:pPr>
      <w:r>
        <w:t xml:space="preserve">Now Live: Speed-to-Lead Metrics</w:t>
      </w:r>
    </w:p>
    <w:p>
      <w:pPr>
        <w:spacing w:after="100"/>
      </w:pPr>
      <w:r>
        <w:rPr>
          <w:rFonts w:ascii="Aptos" w:cs="Aptos" w:eastAsia="Aptos" w:hAnsi="Aptos"/>
          <w:sz w:val="22"/>
          <w:szCs w:val="22"/>
        </w:rPr>
        <w:t xml:space="preserve">Response time measurement from lead creation to first agent contact, with average response times, distribution analysis, and SLA breach alerts.</w:t>
      </w:r>
    </w:p>
    <w:p>
      <w:pPr>
        <w:pStyle w:val="Heading2"/>
        <w:spacing w:after="120" w:before="300"/>
      </w:pPr>
      <w:r>
        <w:t xml:space="preserve">Now Live: Show Day Management</w:t>
      </w:r>
    </w:p>
    <w:p>
      <w:pPr>
        <w:spacing w:after="100"/>
      </w:pPr>
      <w:r>
        <w:rPr>
          <w:rFonts w:ascii="Aptos" w:cs="Aptos" w:eastAsia="Aptos" w:hAnsi="Aptos"/>
          <w:sz w:val="22"/>
          <w:szCs w:val="22"/>
        </w:rPr>
        <w:t xml:space="preserve">Full show day lifecycle — create events, link to properties, track attendees via QR code sign-in, and convert visitors to leads.</w:t>
      </w:r>
    </w:p>
    <w:p>
      <w:pPr>
        <w:pStyle w:val="Heading2"/>
        <w:spacing w:after="120" w:before="300"/>
      </w:pPr>
      <w:r>
        <w:t xml:space="preserve">Now Live: Zod 4 Runtime Validation</w:t>
      </w:r>
    </w:p>
    <w:p>
      <w:pPr>
        <w:spacing w:after="100"/>
      </w:pPr>
      <w:r>
        <w:rPr>
          <w:rFonts w:ascii="Aptos" w:cs="Aptos" w:eastAsia="Aptos" w:hAnsi="Aptos"/>
          <w:sz w:val="22"/>
          <w:szCs w:val="22"/>
        </w:rPr>
        <w:t xml:space="preserve">All Firestore document reads are validated at runtime with Zod 4.3.6 schemas, ensuring type safety at the database boundary.</w:t>
      </w:r>
    </w:p>
    <w:p>
      <w:pPr>
        <w:pStyle w:val="Heading1"/>
        <w:spacing w:after="120" w:before="300"/>
      </w:pPr>
      <w:r>
        <w:t xml:space="preserve">v1.3.x — New Capabilities</w:t>
      </w:r>
    </w:p>
    <w:p>
      <w:pPr>
        <w:spacing w:after="100"/>
      </w:pPr>
      <w:r>
        <w:rPr>
          <w:rFonts w:ascii="Aptos" w:cs="Aptos" w:eastAsia="Aptos" w:hAnsi="Aptos"/>
          <w:sz w:val="22"/>
          <w:szCs w:val="22"/>
        </w:rPr>
        <w:t xml:space="preserve">The following capabilities have shipped across v1.2.0 through v1.3.6.</w:t>
      </w:r>
    </w:p>
    <w:p>
      <w:pPr>
        <w:pStyle w:val="Heading2"/>
        <w:spacing w:after="120" w:before="300"/>
      </w:pPr>
      <w:r>
        <w:t xml:space="preserve">Now Live: Agent Profile &amp; Branded CMAs (v1.3.6)</w:t>
      </w:r>
    </w:p>
    <w:p>
      <w:pPr>
        <w:spacing w:after="100"/>
      </w:pPr>
      <w:r>
        <w:rPr>
          <w:rFonts w:ascii="Aptos" w:cs="Aptos" w:eastAsia="Aptos" w:hAnsi="Aptos"/>
          <w:sz w:val="22"/>
          <w:szCs w:val="22"/>
        </w:rPr>
        <w:t xml:space="preserve">Each agent now has a personal profile in Thina CRM — personal details, agency, EAAB FFC compliance, profile photo, agency logo, brand colours and signature block. These details flow automatically onto every CMA PDF your team produces, so every report goes out professionally branded with the correct preparer's photo, contact details and FFC number. CMAs even snapshot the agent's details at the time of saving so historical reports stay accurate.</w:t>
      </w:r>
    </w:p>
    <w:p>
      <w:pPr>
        <w:pStyle w:val="Heading2"/>
        <w:spacing w:after="120" w:before="300"/>
      </w:pPr>
      <w:r>
        <w:t xml:space="preserve">Now Live: Address Autocomplete (v1.3.4)</w:t>
      </w:r>
    </w:p>
    <w:p>
      <w:pPr>
        <w:spacing w:after="100"/>
      </w:pPr>
      <w:r>
        <w:rPr>
          <w:rFonts w:ascii="Aptos" w:cs="Aptos" w:eastAsia="Aptos" w:hAnsi="Aptos"/>
          <w:sz w:val="22"/>
          <w:szCs w:val="22"/>
        </w:rPr>
        <w:t xml:space="preserve">Property addresses on the Properties form and on every CMA (subject + each comparable) now use Google Places autocomplete restricted to South Africa. Agents type, pick, and the system captures the full formatted address plus precise GPS coordinates. Subject coordinates are passed to the AI so generated comparables are anchored on the real location — not a typed suburb name.</w:t>
      </w:r>
    </w:p>
    <w:p>
      <w:pPr>
        <w:pStyle w:val="Heading2"/>
        <w:spacing w:after="120" w:before="300"/>
      </w:pPr>
      <w:r>
        <w:t xml:space="preserve">Now Live: Redesigned CMA PDF (v1.3.5)</w:t>
      </w:r>
    </w:p>
    <w:p>
      <w:pPr>
        <w:spacing w:after="100"/>
      </w:pPr>
      <w:r>
        <w:rPr>
          <w:rFonts w:ascii="Aptos" w:cs="Aptos" w:eastAsia="Aptos" w:hAnsi="Aptos"/>
          <w:sz w:val="22"/>
          <w:szCs w:val="22"/>
        </w:rPr>
        <w:t xml:space="preserve">A complete visual redesign of the Comparative Market Analysis PDF: branded cover, executive summary with KPI tiles and value-range bar, subject tearsheet, per-comparable detailed cards, side-by-side comparison matrix, price distribution chart, three-tier pricing strategy (suggested list / target sale / walk-away floor), marketing recommendations and a rich agent contact card. The output stands up to anything the big franchises produce.</w:t>
      </w:r>
    </w:p>
    <w:p>
      <w:pPr>
        <w:pStyle w:val="Heading2"/>
        <w:spacing w:after="120" w:before="300"/>
      </w:pPr>
      <w:r>
        <w:t xml:space="preserve">Now Live: Distributed Rate Limiting &amp; Enforcing CSP (v1.3.5)</w:t>
      </w:r>
    </w:p>
    <w:p>
      <w:pPr>
        <w:spacing w:after="100"/>
      </w:pPr>
      <w:r>
        <w:rPr>
          <w:rFonts w:ascii="Aptos" w:cs="Aptos" w:eastAsia="Aptos" w:hAnsi="Aptos"/>
          <w:sz w:val="22"/>
          <w:szCs w:val="22"/>
        </w:rPr>
        <w:t xml:space="preserve">Rate limits on SMS, CMA, seed and webhook endpoints are now enforced across every Firebase App Hosting instance via a Firestore-backed limiter with TTL auto-expiry. The Content-Security-Policy is now in enforcing mode, blocking any unauthorised script source. The independent security audit rates the platform at ~9.0 / 10.</w:t>
      </w:r>
    </w:p>
    <w:p>
      <w:pPr>
        <w:pStyle w:val="Heading2"/>
        <w:spacing w:after="120" w:before="300"/>
      </w:pPr>
      <w:r>
        <w:t xml:space="preserve">Now Live: Production Hardening &amp; Observability (v1.2.0 → v1.3.0)</w:t>
      </w:r>
    </w:p>
    <w:p>
      <w:pPr>
        <w:spacing w:after="100"/>
      </w:pPr>
      <w:r>
        <w:rPr>
          <w:rFonts w:ascii="Aptos" w:cs="Aptos" w:eastAsia="Aptos" w:hAnsi="Aptos"/>
          <w:sz w:val="22"/>
          <w:szCs w:val="22"/>
        </w:rPr>
        <w:t xml:space="preserve">Server-side auth middleware on every protected route, root-level error / not-found / loading pages, hardened security headers (X-Frame-Options, HSTS, Referrer-Policy, Permissions-Policy), CMA prompt sanitisation against AI prompt injection, full Sentry error tracking, and ESLint enforcement on every build.</w:t>
      </w:r>
    </w:p>
    <w:p>
      <w:pPr>
        <w:pStyle w:val="Heading2"/>
        <w:spacing w:after="120" w:before="300"/>
      </w:pPr>
      <w:r>
        <w:t xml:space="preserve">Updated Platform Summary (v1.3.6)</w:t>
      </w:r>
    </w:p>
    <w:p>
      <w:pPr>
        <w:spacing w:after="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18181B" w:val="clear"/>
          </w:tcPr>
          <w:p>
            <w:pPr>
              <w:jc w:val="left"/>
            </w:pPr>
            <w:r>
              <w:rPr>
                <w:rFonts w:ascii="Aptos" w:cs="Aptos" w:eastAsia="Aptos" w:hAnsi="Aptos"/>
                <w:b/>
                <w:bCs/>
                <w:color w:val="FFFFFF"/>
                <w:sz w:val="20"/>
                <w:szCs w:val="20"/>
              </w:rPr>
              <w:t xml:space="preserve">Metric</w:t>
            </w:r>
          </w:p>
        </w:tc>
        <w:tc>
          <w:tcPr>
            <w:tcW w:type="pct" w:w="50%"/>
            <w:shd w:fill="18181B" w:val="clear"/>
          </w:tcPr>
          <w:p>
            <w:pPr>
              <w:jc w:val="left"/>
            </w:pPr>
            <w:r>
              <w:rPr>
                <w:rFonts w:ascii="Aptos" w:cs="Aptos" w:eastAsia="Aptos" w:hAnsi="Aptos"/>
                <w:b/>
                <w:bCs/>
                <w:color w:val="FFFFFF"/>
                <w:sz w:val="20"/>
                <w:szCs w:val="20"/>
              </w:rPr>
              <w:t xml:space="preserve">Value</w:t>
            </w:r>
          </w:p>
        </w:tc>
      </w:tr>
      <w:tr>
        <w:tc>
          <w:p>
            <w:r>
              <w:rPr>
                <w:rFonts w:ascii="Aptos" w:cs="Aptos" w:eastAsia="Aptos" w:hAnsi="Aptos"/>
                <w:sz w:val="20"/>
                <w:szCs w:val="20"/>
              </w:rPr>
              <w:t xml:space="preserve">Firestore Collections</w:t>
            </w:r>
          </w:p>
        </w:tc>
        <w:tc>
          <w:p>
            <w:r>
              <w:rPr>
                <w:rFonts w:ascii="Aptos" w:cs="Aptos" w:eastAsia="Aptos" w:hAnsi="Aptos"/>
                <w:sz w:val="20"/>
                <w:szCs w:val="20"/>
              </w:rPr>
              <w:t xml:space="preserve">17 (incl. agentProfiles, placesCache, rateLimits)</w:t>
            </w:r>
          </w:p>
        </w:tc>
      </w:tr>
      <w:tr>
        <w:tc>
          <w:p>
            <w:r>
              <w:rPr>
                <w:rFonts w:ascii="Aptos" w:cs="Aptos" w:eastAsia="Aptos" w:hAnsi="Aptos"/>
                <w:sz w:val="20"/>
                <w:szCs w:val="20"/>
              </w:rPr>
              <w:t xml:space="preserve">Database Functions</w:t>
            </w:r>
          </w:p>
        </w:tc>
        <w:tc>
          <w:p>
            <w:r>
              <w:rPr>
                <w:rFonts w:ascii="Aptos" w:cs="Aptos" w:eastAsia="Aptos" w:hAnsi="Aptos"/>
                <w:sz w:val="20"/>
                <w:szCs w:val="20"/>
              </w:rPr>
              <w:t xml:space="preserve">80+</w:t>
            </w:r>
          </w:p>
        </w:tc>
      </w:tr>
      <w:tr>
        <w:tc>
          <w:p>
            <w:r>
              <w:rPr>
                <w:rFonts w:ascii="Aptos" w:cs="Aptos" w:eastAsia="Aptos" w:hAnsi="Aptos"/>
                <w:sz w:val="20"/>
                <w:szCs w:val="20"/>
              </w:rPr>
              <w:t xml:space="preserve">Page Routes</w:t>
            </w:r>
          </w:p>
        </w:tc>
        <w:tc>
          <w:p>
            <w:r>
              <w:rPr>
                <w:rFonts w:ascii="Aptos" w:cs="Aptos" w:eastAsia="Aptos" w:hAnsi="Aptos"/>
                <w:sz w:val="20"/>
                <w:szCs w:val="20"/>
              </w:rPr>
              <w:t xml:space="preserve">32 (incl. /settings/profile)</w:t>
            </w:r>
          </w:p>
        </w:tc>
      </w:tr>
      <w:tr>
        <w:tc>
          <w:p>
            <w:r>
              <w:rPr>
                <w:rFonts w:ascii="Aptos" w:cs="Aptos" w:eastAsia="Aptos" w:hAnsi="Aptos"/>
                <w:sz w:val="20"/>
                <w:szCs w:val="20"/>
              </w:rPr>
              <w:t xml:space="preserve">API Routes</w:t>
            </w:r>
          </w:p>
        </w:tc>
        <w:tc>
          <w:p>
            <w:r>
              <w:rPr>
                <w:rFonts w:ascii="Aptos" w:cs="Aptos" w:eastAsia="Aptos" w:hAnsi="Aptos"/>
                <w:sz w:val="20"/>
                <w:szCs w:val="20"/>
              </w:rPr>
              <w:t xml:space="preserve">6 (health, sms/send, leads/inbound, cma/research, places/resolve, seed)</w:t>
            </w:r>
          </w:p>
        </w:tc>
      </w:tr>
      <w:tr>
        <w:tc>
          <w:p>
            <w:r>
              <w:rPr>
                <w:rFonts w:ascii="Aptos" w:cs="Aptos" w:eastAsia="Aptos" w:hAnsi="Aptos"/>
                <w:sz w:val="20"/>
                <w:szCs w:val="20"/>
              </w:rPr>
              <w:t xml:space="preserve">Seed Records</w:t>
            </w:r>
          </w:p>
        </w:tc>
        <w:tc>
          <w:p>
            <w:r>
              <w:rPr>
                <w:rFonts w:ascii="Aptos" w:cs="Aptos" w:eastAsia="Aptos" w:hAnsi="Aptos"/>
                <w:sz w:val="20"/>
                <w:szCs w:val="20"/>
              </w:rPr>
              <w:t xml:space="preserve">1,604+</w:t>
            </w:r>
          </w:p>
        </w:tc>
      </w:tr>
      <w:tr>
        <w:tc>
          <w:p>
            <w:r>
              <w:rPr>
                <w:rFonts w:ascii="Aptos" w:cs="Aptos" w:eastAsia="Aptos" w:hAnsi="Aptos"/>
                <w:sz w:val="20"/>
                <w:szCs w:val="20"/>
              </w:rPr>
              <w:t xml:space="preserve">Unit Tests</w:t>
            </w:r>
          </w:p>
        </w:tc>
        <w:tc>
          <w:p>
            <w:r>
              <w:rPr>
                <w:rFonts w:ascii="Aptos" w:cs="Aptos" w:eastAsia="Aptos" w:hAnsi="Aptos"/>
                <w:sz w:val="20"/>
                <w:szCs w:val="20"/>
              </w:rPr>
              <w:t xml:space="preserve">126</w:t>
            </w:r>
          </w:p>
        </w:tc>
      </w:tr>
      <w:tr>
        <w:tc>
          <w:p>
            <w:r>
              <w:rPr>
                <w:rFonts w:ascii="Aptos" w:cs="Aptos" w:eastAsia="Aptos" w:hAnsi="Aptos"/>
                <w:sz w:val="20"/>
                <w:szCs w:val="20"/>
              </w:rPr>
              <w:t xml:space="preserve">E2E Tests</w:t>
            </w:r>
          </w:p>
        </w:tc>
        <w:tc>
          <w:p>
            <w:r>
              <w:rPr>
                <w:rFonts w:ascii="Aptos" w:cs="Aptos" w:eastAsia="Aptos" w:hAnsi="Aptos"/>
                <w:sz w:val="20"/>
                <w:szCs w:val="20"/>
              </w:rPr>
              <w:t xml:space="preserve">89</w:t>
            </w:r>
          </w:p>
        </w:tc>
      </w:tr>
      <w:tr>
        <w:tc>
          <w:p>
            <w:r>
              <w:rPr>
                <w:rFonts w:ascii="Aptos" w:cs="Aptos" w:eastAsia="Aptos" w:hAnsi="Aptos"/>
                <w:sz w:val="20"/>
                <w:szCs w:val="20"/>
              </w:rPr>
              <w:t xml:space="preserve">Total Tests</w:t>
            </w:r>
          </w:p>
        </w:tc>
        <w:tc>
          <w:p>
            <w:r>
              <w:rPr>
                <w:rFonts w:ascii="Aptos" w:cs="Aptos" w:eastAsia="Aptos" w:hAnsi="Aptos"/>
                <w:sz w:val="20"/>
                <w:szCs w:val="20"/>
              </w:rPr>
              <w:t xml:space="preserve">215</w:t>
            </w:r>
          </w:p>
        </w:tc>
      </w:tr>
      <w:tr>
        <w:tc>
          <w:p>
            <w:r>
              <w:rPr>
                <w:rFonts w:ascii="Aptos" w:cs="Aptos" w:eastAsia="Aptos" w:hAnsi="Aptos"/>
                <w:sz w:val="20"/>
                <w:szCs w:val="20"/>
              </w:rPr>
              <w:t xml:space="preserve">Security Rating</w:t>
            </w:r>
          </w:p>
        </w:tc>
        <w:tc>
          <w:p>
            <w:r>
              <w:rPr>
                <w:rFonts w:ascii="Aptos" w:cs="Aptos" w:eastAsia="Aptos" w:hAnsi="Aptos"/>
                <w:sz w:val="20"/>
                <w:szCs w:val="20"/>
              </w:rPr>
              <w:t xml:space="preserve">~9.0 / 10 (post-sprint)</w:t>
            </w:r>
          </w:p>
        </w:tc>
      </w:tr>
    </w:tbl>
    <w:p>
      <w:pPr>
        <w:spacing w:after="40"/>
      </w:pPr>
    </w:p>
    <w:p>
      <w:pPr>
        <w:spacing w:after="40"/>
      </w:pPr>
    </w:p>
    <w:p>
      <w:pPr>
        <w:spacing w:after="40"/>
      </w:pPr>
    </w:p>
    <w:p>
      <w:pPr>
        <w:spacing w:before="600"/>
        <w:jc w:val="center"/>
      </w:pPr>
      <w:r>
        <w:rPr>
          <w:rFonts w:ascii="Aptos" w:cs="Aptos" w:eastAsia="Aptos" w:hAnsi="Aptos"/>
          <w:i/>
          <w:iCs/>
          <w:color w:val="A1A1AA"/>
          <w:sz w:val="22"/>
          <w:szCs w:val="22"/>
        </w:rPr>
        <w:t xml:space="preserve">— End of Document —</w:t>
      </w:r>
    </w:p>
    <w:p>
      <w:pPr>
        <w:spacing w:after="200"/>
        <w:jc w:val="center"/>
      </w:pPr>
      <w:r>
        <w:rPr>
          <w:rFonts w:ascii="Aptos" w:cs="Aptos" w:eastAsia="Aptos" w:hAnsi="Aptos"/>
          <w:color w:val="A1A1AA"/>
          <w:sz w:val="18"/>
          <w:szCs w:val="18"/>
        </w:rPr>
        <w:t xml:space="preserve">Thina CRM v1.3.6 • Generated 26 April 2026</w:t>
      </w:r>
    </w:p>
    <w:sectPr>
      <w:headerReference w:type="default" r:id="rId7"/>
      <w:footerReference w:type="default" r:id="rId8"/>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A1A1AA"/>
        <w:sz w:val="16"/>
        <w:szCs w:val="16"/>
      </w:rPr>
      <w:t xml:space="preserve">Thina CRM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A1A1AA"/>
        <w:sz w:val="16"/>
        <w:szCs w:val="16"/>
      </w:rPr>
      <w:t xml:space="preserve">Thina CRM — Marketing &amp; Feature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Aptos" w:cs="Aptos" w:eastAsia="Aptos" w:hAnsi="Aptos"/>
      <w:b/>
      <w:bCs/>
      <w:color w:val="18181B"/>
      <w:sz w:val="36"/>
      <w:szCs w:val="36"/>
    </w:rPr>
  </w:style>
  <w:style w:type="paragraph" w:styleId="Heading2">
    <w:name w:val="Heading 2"/>
    <w:basedOn w:val="Normal"/>
    <w:next w:val="Normal"/>
    <w:qFormat/>
    <w:pPr>
      <w:spacing w:after="120" w:before="280"/>
    </w:pPr>
    <w:rPr>
      <w:rFonts w:ascii="Aptos" w:cs="Aptos" w:eastAsia="Aptos" w:hAnsi="Aptos"/>
      <w:b/>
      <w:bCs/>
      <w:color w:val="27272A"/>
      <w:sz w:val="28"/>
      <w:szCs w:val="28"/>
    </w:rPr>
  </w:style>
  <w:style w:type="paragraph" w:styleId="Heading3">
    <w:name w:val="Heading 3"/>
    <w:basedOn w:val="Normal"/>
    <w:next w:val="Normal"/>
    <w:qFormat/>
    <w:pPr>
      <w:spacing w:after="100" w:before="200"/>
    </w:pPr>
    <w:rPr>
      <w:rFonts w:ascii="Aptos" w:cs="Aptos" w:eastAsia="Aptos" w:hAnsi="Aptos"/>
      <w:b/>
      <w:bCs/>
      <w:color w:val="3F3F46"/>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Thina CRM — Marketing &amp; Feature Guide</dc:title>
  <dc:creator>Thina CRM Team</dc:creator>
  <dc:description>Marketing &amp; Feature Guide — Thina CRM Documentation</dc:description>
  <cp:lastModifiedBy>Un-named</cp:lastModifiedBy>
  <cp:revision>1</cp:revision>
  <dcterms:created xsi:type="dcterms:W3CDTF">2026-04-26T20:42:27.224Z</dcterms:created>
  <dcterms:modified xsi:type="dcterms:W3CDTF">2026-04-26T20:42:27.224Z</dcterms:modified>
</cp:coreProperties>
</file>

<file path=docProps/custom.xml><?xml version="1.0" encoding="utf-8"?>
<Properties xmlns="http://schemas.openxmlformats.org/officeDocument/2006/custom-properties" xmlns:vt="http://schemas.openxmlformats.org/officeDocument/2006/docPropsVTypes"/>
</file>