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rFonts w:ascii="Aptos" w:cs="Aptos" w:eastAsia="Aptos" w:hAnsi="Aptos"/>
          <w:b/>
          <w:bCs/>
          <w:color w:val="4F46E5"/>
          <w:sz w:val="72"/>
          <w:szCs w:val="72"/>
        </w:rPr>
        <w:t xml:space="preserve">THINA CRM</w:t>
      </w:r>
    </w:p>
    <w:p>
      <w:pPr>
        <w:spacing w:after="100"/>
        <w:jc w:val="center"/>
      </w:pPr>
      <w:r>
        <w:rPr>
          <w:rFonts w:ascii="Aptos" w:cs="Aptos" w:eastAsia="Aptos" w:hAnsi="Aptos"/>
          <w:color w:val="52525B"/>
          <w:sz w:val="36"/>
          <w:szCs w:val="36"/>
        </w:rPr>
        <w:t xml:space="preserve">User Training Guide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Step-by-step instructions for every feature in Thina CRM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8"/>
          <w:szCs w:val="28"/>
        </w:rPr>
        <w:t xml:space="preserve">Version 1.3.6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26 April 2026</w:t>
      </w:r>
    </w:p>
    <w:p>
      <w:pPr>
        <w:spacing w:before="1600"/>
        <w:jc w:val="center"/>
      </w:pPr>
      <w:r>
        <w:rPr>
          <w:rFonts w:ascii="Aptos" w:cs="Aptos" w:eastAsia="Aptos" w:hAnsi="Aptos"/>
          <w:i/>
          <w:iCs/>
          <w:color w:val="A1A1AA"/>
          <w:sz w:val="24"/>
          <w:szCs w:val="24"/>
        </w:rPr>
        <w:t xml:space="preserve">"Thina" — Zulu/Xhosa for "Us"</w:t>
      </w:r>
    </w:p>
    <w:p>
      <w:r>
        <w:br w:type="page"/>
      </w:r>
    </w:p>
    <w:p>
      <w:pPr>
        <w:pStyle w:val="Heading1"/>
        <w:spacing w:after="120" w:before="300"/>
      </w:pPr>
      <w:r>
        <w:t xml:space="preserve">v1.0.1 — New Feature Training</w:t>
      </w:r>
    </w:p>
    <w:p>
      <w:pPr>
        <w:pStyle w:val="Heading2"/>
        <w:spacing w:after="120" w:before="300"/>
      </w:pPr>
      <w:r>
        <w:t xml:space="preserve">Agent Assignment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Every lead and contact in Thina CRM is now assigned to a specific agent. This ensures accountability and prevents leads from falling through the cracks.</w:t>
      </w:r>
    </w:p>
    <w:p>
      <w:pPr>
        <w:pStyle w:val="Heading3"/>
        <w:spacing w:after="120" w:before="300"/>
      </w:pPr>
      <w:r>
        <w:t xml:space="preserve">How It 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When you create a new lead or contact, you are automatically assigned as the owner.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Your name and avatar appear as an 'Agent Badge' on each lead/contact card.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Assignment is permanent (lock-on-first-touch) — the first agent to engage with a customer owns the relationship.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You can view all your assigned leads and contacts from the respective list pages.</w:t>
      </w:r>
    </w:p>
    <w:p>
      <w:pPr>
        <w:pStyle w:val="Heading2"/>
        <w:spacing w:after="120" w:before="300"/>
      </w:pPr>
      <w:r>
        <w:t xml:space="preserve">Document Upload with Firebase Storage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Document Vault now supports real file uploads powered by Firebase Storage.</w:t>
      </w:r>
    </w:p>
    <w:p>
      <w:pPr>
        <w:pStyle w:val="Heading3"/>
        <w:spacing w:after="120" w:before="300"/>
      </w:pPr>
      <w:r>
        <w:t xml:space="preserve">How to Upload a Document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Navigate to Documents from the sidebar (under Transactions).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Click the 'Upload Document' button to open the upload sheet.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Select the document category (FICA, OTP, Mandate, Bond, or Other).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Choose a file from your device. Supported types: PDF, JPEG, PNG, DOCX.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Click 'Upload' — the file is securely stored in Firebase Storage and linked to your account.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Uploaded documents appear in the Document Vault with category tags and timestamps.</w:t>
      </w:r>
    </w:p>
    <w:p>
      <w:pPr>
        <w:pStyle w:val="Heading2"/>
        <w:spacing w:after="120" w:before="300"/>
      </w:pPr>
      <w:r>
        <w:t xml:space="preserve">Messaging — Real SMS via BulkSMS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Messaging page now sends real SMS messages through the BulkSMS.co.za API.</w:t>
      </w:r>
    </w:p>
    <w:p>
      <w:pPr>
        <w:pStyle w:val="Heading3"/>
        <w:spacing w:after="120" w:before="300"/>
      </w:pPr>
      <w:r>
        <w:t xml:space="preserve">How to Send an SMS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Navigate to Messaging from the sidebar (under Pipeline).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Click 'Compose Message' to open the compose sheet.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Select a recipient or enter a mobile number (South African format: +27...).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Type your message and click 'Send'.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The message is sent via the BulkSMS API. Delivery status updates automatically.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All sent messages are saved in the SMS history with delivery status indicators.</w:t>
      </w:r>
    </w:p>
    <w:p>
      <w:pPr>
        <w:pStyle w:val="Heading2"/>
        <w:spacing w:after="120" w:before="300"/>
      </w:pPr>
      <w:r>
        <w:t xml:space="preserve">Inbound Lead Webhook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Leads from property portals like Property24 and Private Property can now be injected automatically via a secure webhook endpoint. Contact your system administrator to configure the webhook URL and HMAC secret for your portal account.</w:t>
      </w:r>
    </w:p>
    <w:p>
      <w:pPr>
        <w:pStyle w:val="Heading2"/>
        <w:spacing w:after="120" w:before="300"/>
      </w:pPr>
      <w:r>
        <w:t xml:space="preserve">Pipeline Card Navigation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You can now click on any card on the Pipeline Board or Transaction Pipeline to navigate directly to the lead or transaction detail page. Previously, cards were display-only.</w:t>
      </w:r>
    </w:p>
    <w:p>
      <w:pPr>
        <w:pStyle w:val="Heading1"/>
        <w:spacing w:after="120" w:before="300"/>
      </w:pPr>
      <w:r>
        <w:t xml:space="preserve">v1.1.0 — New Feature Training</w:t>
      </w:r>
    </w:p>
    <w:p>
      <w:pPr>
        <w:pStyle w:val="Heading2"/>
        <w:spacing w:after="120" w:before="300"/>
      </w:pPr>
      <w:r>
        <w:t xml:space="preserve">Gemini AI CMA Research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Thina CRM now uses Google Gemini AI to generate Comparative Market Analysis reports with live market data.</w:t>
      </w:r>
    </w:p>
    <w:p>
      <w:pPr>
        <w:pStyle w:val="Heading3"/>
        <w:spacing w:after="120" w:before="300"/>
      </w:pPr>
      <w:r>
        <w:t xml:space="preserve">How to Generate a CMA Report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Navigate to CMA from the sidebar.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Enter the property address you want to analyse.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Click 'Generate CMA' — the AI researches comparable sales, neighbourhood data, and market trends.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Review the generated report with neighbourhood insights, comparable sales table, and pricing recommendation.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Download the CMA as a PDF to share with clients.</w:t>
      </w:r>
    </w:p>
    <w:p>
      <w:pPr>
        <w:pStyle w:val="Heading2"/>
        <w:spacing w:after="120" w:before="300"/>
      </w:pPr>
      <w:r>
        <w:t xml:space="preserve">Buyer-Match Engine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Buyer Match page algorithmically pairs buyer requirements with available property listings.</w:t>
      </w:r>
    </w:p>
    <w:p>
      <w:pPr>
        <w:pStyle w:val="Heading3"/>
        <w:spacing w:after="120" w:before="300"/>
      </w:pPr>
      <w:r>
        <w:t xml:space="preserve">How to Use Buyer Match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Navigate to Buyer Match from the sidebar.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The system automatically scores all buyers against all active listings.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Match scores are computed across price range, location, bedrooms, property type, and amenities.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Click any match to view the detailed breakdown and contact the buyer.</w:t>
      </w:r>
    </w:p>
    <w:p>
      <w:pPr>
        <w:pStyle w:val="Heading2"/>
        <w:spacing w:after="120" w:before="300"/>
      </w:pPr>
      <w:r>
        <w:t xml:space="preserve">Compliance Dashboard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Compliance page provides a centralised view of FICA and regulatory status across all transactions.</w:t>
      </w:r>
    </w:p>
    <w:p>
      <w:pPr>
        <w:pStyle w:val="Heading3"/>
        <w:spacing w:after="120" w:before="300"/>
      </w:pPr>
      <w:r>
        <w:t xml:space="preserve">How to Use Compliance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Navigate to Compliance from the sidebar.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Review FICA document expiry dates and missing mandatory documents.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Check regulatory checklist status for each active transaction.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Address any flagged items before they become compliance issues.</w:t>
      </w:r>
    </w:p>
    <w:p>
      <w:pPr>
        <w:pStyle w:val="Heading2"/>
        <w:spacing w:after="120" w:before="300"/>
      </w:pPr>
      <w:r>
        <w:t xml:space="preserve">Lead ROI Analytics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Lead ROI page shows return on investment metrics for each lead source.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Navigate to Lead ROI from the sidebar.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View cost-per-lead, conversion rates, and revenue attribution per source.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Compare ROI across Portal, Referral, Walk-in, Digital Ad, Show Day, and Social channels.</w:t>
      </w:r>
    </w:p>
    <w:p>
      <w:pPr>
        <w:pStyle w:val="Heading2"/>
        <w:spacing w:after="120" w:before="300"/>
      </w:pPr>
      <w:r>
        <w:t xml:space="preserve">Speed-to-Lead Metrics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Speed to Lead page measures how quickly agents respond to new leads.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Navigate to Speed to Lead from the sidebar.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View average response times and distribution charts.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Monitor SLA threshold alerts for leads awaiting first contact.</w:t>
      </w:r>
    </w:p>
    <w:p>
      <w:pPr>
        <w:pStyle w:val="Heading1"/>
        <w:spacing w:after="120" w:before="300"/>
      </w:pPr>
      <w:r>
        <w:t xml:space="preserve">v1.3.x — New Feature Training</w:t>
      </w:r>
    </w:p>
    <w:p>
      <w:pPr>
        <w:pStyle w:val="Heading2"/>
        <w:spacing w:after="120" w:before="300"/>
      </w:pPr>
      <w:r>
        <w:t xml:space="preserve">Setting Up Your Agent Profile (v1.3.6)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Your Agent Profile drives the branding on every CMA report and document Thina CRM produces for your clients. Set it up once and your details flow through automatically.</w:t>
      </w:r>
    </w:p>
    <w:p>
      <w:pPr>
        <w:pStyle w:val="Heading3"/>
        <w:spacing w:after="120" w:before="300"/>
      </w:pPr>
      <w:r>
        <w:t xml:space="preserve">How to Complete Your Profile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Click the new 'Settings' group in the sidebar, then choose 'Agent Profile'.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Fill in Personal Details: first name, last name, display name, phone, WhatsApp, job title, short bio.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Fill in Agency: agency name, branch, company registration number, VAT number.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Fill in EAAB / FFC Compliance: FFC number, FFC expiry date, EAAB registration number — these print on every CMA.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Upload Branding: a profile photo and your agency logo (max 2MB each, PNG/JPEG). They are stored in Firebase Storage scoped to your account.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Set your brand primary and accent colours and your email signature block.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Add Web &amp; Social links: website, LinkedIn, Facebook, Instagram handle.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Click Save. Your profile photo and agency logo will now appear on the cover and the agent card of every CMA PDF you download.</w:t>
      </w:r>
    </w:p>
    <w:p>
      <w:pPr>
        <w:pStyle w:val="Heading2"/>
        <w:spacing w:after="120" w:before="300"/>
      </w:pPr>
      <w:r>
        <w:t xml:space="preserve">Address Autocomplete (v1.3.4)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Properties form, the CMA Subject Property form and each CMA Comparable row now use Google Places autocomplete. Start typing a South African address and pick the right one from the dropdown — the system captures the full formatted address, suburb, city and exact GPS coordinates automatically.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For CMAs, the captured coordinates are passed to the Gemini AI so it can find truly local comparables instead of guessing from the suburb name.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All Place Details lookups are cached for 30 days, so re-using the same address is instant and free.</w:t>
      </w:r>
    </w:p>
    <w:p>
      <w:pPr>
        <w:pStyle w:val="Heading2"/>
        <w:spacing w:after="120" w:before="300"/>
      </w:pPr>
      <w:r>
        <w:t xml:space="preserve">New CMA PDF Layout (v1.3.5)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CMA PDF has been completely redesigned. When you click 'Download PDF' on any CMA report you now get: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A branded cover page with the subject address and your name/agency.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An executive summary with KPI tiles and a visual value-range bar.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A subject property tearsheet showing all subject details on one page.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Detailed per-comparable cards (one per comparable sale).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A side-by-side comparison matrix and a price distribution chart.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A three-tier pricing strategy: suggested list price, target sale price, walk-away floor.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Your full agent contact card at the end — with profile photo, agency logo, FFC# and contact details from your Agent Profile.</w:t>
      </w:r>
    </w:p>
    <w:p>
      <w:pPr>
        <w:pStyle w:val="Heading2"/>
        <w:spacing w:after="120" w:before="300"/>
      </w:pPr>
      <w:r>
        <w:t xml:space="preserve">Better Login Stability (v1.3.1)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You should no longer be unexpectedly logged out when navigating between pages. The system now keeps your session alive even when Firebase rotates your authentication token in the background (every ~55 minutes).</w:t>
      </w:r>
    </w:p>
    <w:p>
      <w:pPr>
        <w:spacing w:after="40"/>
      </w:pPr>
    </w:p>
    <w:p>
      <w:pPr>
        <w:spacing w:after="40"/>
      </w:pPr>
    </w:p>
    <w:p>
      <w:pPr>
        <w:spacing w:before="600"/>
        <w:jc w:val="center"/>
      </w:pPr>
      <w:r>
        <w:rPr>
          <w:rFonts w:ascii="Aptos" w:cs="Aptos" w:eastAsia="Aptos" w:hAnsi="Aptos"/>
          <w:i/>
          <w:iCs/>
          <w:color w:val="A1A1AA"/>
          <w:sz w:val="22"/>
          <w:szCs w:val="22"/>
        </w:rPr>
        <w:t xml:space="preserve">— End of Document —</w:t>
      </w:r>
    </w:p>
    <w:p>
      <w:pPr>
        <w:spacing w:after="200"/>
        <w:jc w:val="center"/>
      </w:pPr>
      <w:r>
        <w:rPr>
          <w:rFonts w:ascii="Aptos" w:cs="Aptos" w:eastAsia="Aptos" w:hAnsi="Aptos"/>
          <w:color w:val="A1A1AA"/>
          <w:sz w:val="18"/>
          <w:szCs w:val="18"/>
        </w:rPr>
        <w:t xml:space="preserve">Thina CRM v1.3.6 • Generated 26 April 2026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A1A1AA"/>
        <w:sz w:val="16"/>
        <w:szCs w:val="16"/>
      </w:rPr>
      <w:t xml:space="preserve">Thina CRM •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ptos" w:cs="Aptos" w:eastAsia="Aptos" w:hAnsi="Aptos"/>
        <w:i/>
        <w:iCs/>
        <w:color w:val="A1A1AA"/>
        <w:sz w:val="16"/>
        <w:szCs w:val="16"/>
      </w:rPr>
      <w:t xml:space="preserve">Thina CRM — User Training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  <w:lvl w:ilvl="1" w15:tentative="1">
      <w:start w:val="1"/>
      <w:numFmt w:val="bullet"/>
      <w:lvlText w:val="◦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Aptos" w:cs="Aptos" w:eastAsia="Aptos" w:hAnsi="Aptos"/>
      <w:b/>
      <w:bCs/>
      <w:color w:val="18181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Aptos" w:cs="Aptos" w:eastAsia="Aptos" w:hAnsi="Aptos"/>
      <w:b/>
      <w:bCs/>
      <w:color w:val="27272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Aptos" w:cs="Aptos" w:eastAsia="Aptos" w:hAnsi="Aptos"/>
      <w:b/>
      <w:bCs/>
      <w:color w:val="3F3F46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Thina CRM — User Training Guide</dc:title>
  <dc:creator>Thina CRM Team</dc:creator>
  <dc:description>User Training Guide — Thina CRM Documentation</dc:description>
  <cp:lastModifiedBy>Un-named</cp:lastModifiedBy>
  <cp:revision>1</cp:revision>
  <dcterms:created xsi:type="dcterms:W3CDTF">2026-04-26T20:42:27.257Z</dcterms:created>
  <dcterms:modified xsi:type="dcterms:W3CDTF">2026-04-26T20:42:27.257Z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