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docMetadata/LabelInfo.xml" ContentType="application/vnd.ms-office.classificationlabel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Relationship Id="rId5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rFonts w:ascii="Aptos" w:cs="Aptos" w:eastAsia="Aptos" w:hAnsi="Aptos"/>
          <w:b/>
          <w:bCs/>
          <w:color w:val="4F46E5"/>
          <w:sz w:val="72"/>
          <w:szCs w:val="72"/>
        </w:rPr>
        <w:t xml:space="preserve">THINA CRM</w:t>
      </w:r>
    </w:p>
    <w:p>
      <w:pPr>
        <w:spacing w:after="100"/>
        <w:jc w:val="center"/>
      </w:pPr>
      <w:r>
        <w:rPr>
          <w:rFonts w:ascii="Aptos" w:cs="Aptos" w:eastAsia="Aptos" w:hAnsi="Aptos"/>
          <w:color w:val="52525B"/>
          <w:sz w:val="36"/>
          <w:szCs w:val="36"/>
        </w:rPr>
        <w:t xml:space="preserve">Demo Guide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4"/>
          <w:szCs w:val="24"/>
        </w:rPr>
        <w:t xml:space="preserve">A structured walkthrough for presenting Thina CRM to stakeholders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8"/>
          <w:szCs w:val="28"/>
        </w:rPr>
        <w:t xml:space="preserve">Version 1.1.0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4"/>
          <w:szCs w:val="24"/>
        </w:rPr>
        <w:t xml:space="preserve">20 April 2026</w:t>
      </w:r>
    </w:p>
    <w:p>
      <w:pPr>
        <w:spacing w:before="1600"/>
        <w:jc w:val="center"/>
      </w:pPr>
      <w:r>
        <w:rPr>
          <w:rFonts w:ascii="Aptos" w:cs="Aptos" w:eastAsia="Aptos" w:hAnsi="Aptos"/>
          <w:i/>
          <w:iCs/>
          <w:color w:val="A1A1AA"/>
          <w:sz w:val="24"/>
          <w:szCs w:val="24"/>
        </w:rPr>
        <w:t xml:space="preserve">"Thina" — Zulu/Xhosa for "Us"</w:t>
      </w:r>
    </w:p>
    <w:p>
      <w:r>
        <w:br w:type="page"/>
      </w:r>
    </w:p>
    <w:p>
      <w:pPr>
        <w:pStyle w:val="Heading1"/>
        <w:spacing w:after="120" w:before="300"/>
      </w:pPr>
      <w:r>
        <w:t xml:space="preserve">v1.0.1 — New Demo Talking Points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following features are new in v1.0.1. Add these to your demo flow.</w:t>
      </w:r>
    </w:p>
    <w:p>
      <w:pPr>
        <w:pStyle w:val="Heading2"/>
        <w:spacing w:after="120" w:before="300"/>
      </w:pPr>
      <w:r>
        <w:t xml:space="preserve">Agent Assignment Badge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Show the agent badge on any lead or contact card. Say: 'Every lead is automatically assigned to the agent who first engages. This ensures accountability — no leads fall through the cracks.'</w:t>
      </w:r>
    </w:p>
    <w:p>
      <w:pPr>
        <w:pStyle w:val="Heading2"/>
        <w:spacing w:after="120" w:before="300"/>
      </w:pPr>
      <w:r>
        <w:t xml:space="preserve">Real SMS Sending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Navigate to Messaging and compose a real SMS. Say: 'Thina integrates directly with BulkSMS.co.za, South Africa's leading SMS gateway. Agents can send SMS from the CRM and track delivery status in real time.'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Tip: For a live demo, send a test SMS to your own phone and show the delivery confirmation.</w:t>
      </w:r>
    </w:p>
    <w:p>
      <w:pPr>
        <w:pStyle w:val="Heading2"/>
        <w:spacing w:after="120" w:before="300"/>
      </w:pPr>
      <w:r>
        <w:t xml:space="preserve">Document Upload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Navigate to Documents and show the upload flow. Say: 'All transaction documents — FICA, OTPs, mandates, bond applications — can be uploaded and categorised directly in the CRM. Files are stored securely in Firebase Storage with per-agent access control.'</w:t>
      </w:r>
    </w:p>
    <w:p>
      <w:pPr>
        <w:pStyle w:val="Heading2"/>
        <w:spacing w:after="120" w:before="300"/>
      </w:pPr>
      <w:r>
        <w:t xml:space="preserve">Pipeline Click-Through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On the Pipeline Board, click a lead card to navigate to the detail page. Say: 'Agents can click any card on the pipeline board to jump straight to the detail page. No more searching — one click from overview to action.'</w:t>
      </w:r>
    </w:p>
    <w:p>
      <w:pPr>
        <w:pStyle w:val="Heading2"/>
        <w:spacing w:after="120" w:before="300"/>
      </w:pPr>
      <w:r>
        <w:t xml:space="preserve">Inbound Webhook (v1.0.1)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If demoing to a technical audience, mention: 'Property24 and Private Property leads can now be injected automatically via a secure webhook with HMAC-SHA256 verification. Leads appear in the Inbound queue within seconds of the portal notification.'</w:t>
      </w:r>
    </w:p>
    <w:p>
      <w:pPr>
        <w:pStyle w:val="Heading1"/>
        <w:spacing w:after="120" w:before="300"/>
      </w:pPr>
      <w:r>
        <w:t xml:space="preserve">v1.1.0 — New Demo Talking Points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following features are new in v1.1.0. Add these to your demo flow.</w:t>
      </w:r>
    </w:p>
    <w:p>
      <w:pPr>
        <w:pStyle w:val="Heading2"/>
        <w:spacing w:after="120" w:before="300"/>
      </w:pPr>
      <w:r>
        <w:t xml:space="preserve">Gemini AI CMA Research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Navigate to CMA and generate a report. Say: 'Thina now uses Google Gemini AI with live search grounding to generate Comparative Market Analysis reports. Enter an address and the AI researches comparable sales, neighbourhood data, and generates a pricing recommendation — all in seconds.'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Tip: Show the PDF download with AI-generated neighbourhood insights and comparable sales table.</w:t>
      </w:r>
    </w:p>
    <w:p>
      <w:pPr>
        <w:pStyle w:val="Heading2"/>
        <w:spacing w:after="120" w:before="300"/>
      </w:pPr>
      <w:r>
        <w:t xml:space="preserve">Buyer-Match Engine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Navigate to Buyer Match. Say: 'Our algorithmic matching engine scores buyers against listings across price, location, bedrooms, property type, and amenities. Agents instantly see which buyers match which properties.'</w:t>
      </w:r>
    </w:p>
    <w:p>
      <w:pPr>
        <w:pStyle w:val="Heading2"/>
        <w:spacing w:after="120" w:before="300"/>
      </w:pPr>
      <w:r>
        <w:t xml:space="preserve">Compliance Dashboard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Navigate to Compliance. Say: 'The compliance dashboard surfaces FICA expiry, missing documents, and regulatory checklists — ensuring every transaction stays audit-ready.'</w:t>
      </w:r>
    </w:p>
    <w:p>
      <w:pPr>
        <w:pStyle w:val="Heading2"/>
        <w:spacing w:after="120" w:before="300"/>
      </w:pPr>
      <w:r>
        <w:t xml:space="preserve">Lead ROI Analytics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Navigate to Lead ROI. Say: 'Principals can now see exactly which lead sources deliver the best return on investment — cost-per-lead, conversion rates, and revenue attribution broken down by source.'</w:t>
      </w:r>
    </w:p>
    <w:p>
      <w:pPr>
        <w:pStyle w:val="Heading2"/>
        <w:spacing w:after="120" w:before="300"/>
      </w:pPr>
      <w:r>
        <w:t xml:space="preserve">Speed-to-Lead Metrics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Navigate to Speed to Lead. Say: 'We measure response time from lead creation to first contact. Agents and managers can see average response times and SLA breach alerts.'</w:t>
      </w:r>
    </w:p>
    <w:p>
      <w:pPr>
        <w:spacing w:after="40"/>
      </w:pPr>
    </w:p>
    <w:p>
      <w:pPr>
        <w:spacing w:after="40"/>
      </w:pPr>
    </w:p>
    <w:p>
      <w:pPr>
        <w:spacing w:before="600"/>
        <w:jc w:val="center"/>
      </w:pPr>
      <w:r>
        <w:rPr>
          <w:rFonts w:ascii="Aptos" w:cs="Aptos" w:eastAsia="Aptos" w:hAnsi="Aptos"/>
          <w:i/>
          <w:iCs/>
          <w:color w:val="A1A1AA"/>
          <w:sz w:val="22"/>
          <w:szCs w:val="22"/>
        </w:rPr>
        <w:t xml:space="preserve">— End of Document —</w:t>
      </w:r>
    </w:p>
    <w:p>
      <w:pPr>
        <w:spacing w:after="200"/>
        <w:jc w:val="center"/>
      </w:pPr>
      <w:r>
        <w:rPr>
          <w:rFonts w:ascii="Aptos" w:cs="Aptos" w:eastAsia="Aptos" w:hAnsi="Aptos"/>
          <w:color w:val="A1A1AA"/>
          <w:sz w:val="18"/>
          <w:szCs w:val="18"/>
        </w:rPr>
        <w:t xml:space="preserve">Thina CRM v1.1.0 • Generated 20 April 2026</w:t>
      </w:r>
    </w:p>
    <w:sectPr>
      <w:headerReference w:type="default" r:id="rId7"/>
      <w:footerReference w:type="default" r:id="rId8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A1A1AA"/>
        <w:sz w:val="16"/>
        <w:szCs w:val="16"/>
      </w:rPr>
      <w:t xml:space="preserve">Thina CRM •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ptos" w:cs="Aptos" w:eastAsia="Aptos" w:hAnsi="Aptos"/>
        <w:i/>
        <w:iCs/>
        <w:color w:val="A1A1AA"/>
        <w:sz w:val="16"/>
        <w:szCs w:val="16"/>
      </w:rPr>
      <w:t xml:space="preserve">Thina CRM — Demo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  <w:lvl w:ilvl="1" w15:tentative="1">
      <w:start w:val="1"/>
      <w:numFmt w:val="bullet"/>
      <w:lvlText w:val="◦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rFonts w:ascii="Aptos" w:cs="Aptos" w:eastAsia="Aptos" w:hAnsi="Aptos"/>
      <w:b/>
      <w:bCs/>
      <w:color w:val="18181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Aptos" w:cs="Aptos" w:eastAsia="Aptos" w:hAnsi="Aptos"/>
      <w:b/>
      <w:bCs/>
      <w:color w:val="27272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Aptos" w:cs="Aptos" w:eastAsia="Aptos" w:hAnsi="Aptos"/>
      <w:b/>
      <w:bCs/>
      <w:color w:val="3F3F46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Thina CRM — Demo Guide</dc:title>
  <dc:creator>Thina CRM Team</dc:creator>
  <dc:description>Demo Guide — Thina CRM Documentation</dc:description>
  <cp:lastModifiedBy>Un-named</cp:lastModifiedBy>
  <cp:revision>1</cp:revision>
  <dcterms:created xsi:type="dcterms:W3CDTF">2026-04-20T17:33:28.959Z</dcterms:created>
  <dcterms:modified xsi:type="dcterms:W3CDTF">2026-04-20T17:33:28.965Z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