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Features &amp; Data Model</w:t>
      </w:r>
    </w:p>
    <w:p>
      <w:pPr>
        <w:spacing w:after="60"/>
        <w:jc w:val="center"/>
      </w:pPr>
      <w:r>
        <w:rPr>
          <w:rFonts w:ascii="Aptos" w:cs="Aptos" w:eastAsia="Aptos" w:hAnsi="Aptos"/>
          <w:color w:val="71717A"/>
          <w:sz w:val="24"/>
          <w:szCs w:val="24"/>
        </w:rPr>
        <w:t xml:space="preserve">Comprehensive feature inventory and complete data model reference</w:t>
      </w:r>
    </w:p>
    <w:p>
      <w:pPr>
        <w:spacing w:after="60"/>
        <w:jc w:val="center"/>
      </w:pPr>
      <w:r>
        <w:rPr>
          <w:rFonts w:ascii="Aptos" w:cs="Aptos" w:eastAsia="Aptos" w:hAnsi="Aptos"/>
          <w:color w:val="71717A"/>
          <w:sz w:val="28"/>
          <w:szCs w:val="28"/>
        </w:rPr>
        <w:t xml:space="preserve">Version 1.1.0</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2"/>
        <w:spacing w:after="120" w:before="300"/>
      </w:pPr>
      <w:r>
        <w:t xml:space="preserve">v1.0.1 Feature Additions</w:t>
      </w:r>
    </w:p>
    <w:p>
      <w:pPr>
        <w:spacing w:after="100"/>
      </w:pPr>
      <w:r>
        <w:rPr>
          <w:rFonts w:ascii="Aptos" w:cs="Aptos" w:eastAsia="Aptos" w:hAnsi="Aptos"/>
          <w:sz w:val="22"/>
          <w:szCs w:val="22"/>
        </w:rPr>
        <w:t xml:space="preserve">The following features were added in v1.0.1 to support agent operations, backend API integration, and document management.</w:t>
      </w:r>
    </w:p>
    <w:p>
      <w:pPr>
        <w:pStyle w:val="Heading3"/>
        <w:spacing w:after="120" w:before="300"/>
      </w:pPr>
      <w:r>
        <w:t xml:space="preserve">Customer-Agent Assignment</w:t>
      </w:r>
    </w:p>
    <w:p>
      <w:pPr>
        <w:spacing w:after="100"/>
      </w:pPr>
      <w:r>
        <w:rPr>
          <w:rFonts w:ascii="Aptos" w:cs="Aptos" w:eastAsia="Aptos" w:hAnsi="Aptos"/>
          <w:sz w:val="22"/>
          <w:szCs w:val="22"/>
        </w:rPr>
        <w:t xml:space="preserve">Every lead and contact is now assigned to a specific agent. When an agent creates or first interacts with a customer, they are permanently assigned via a lock-on-first-touch mechanism.</w:t>
      </w:r>
    </w:p>
    <w:p>
      <w:pPr>
        <w:pStyle w:val="ListParagraph"/>
        <w:numPr>
          <w:ilvl w:val="0"/>
          <w:numId w:val="1"/>
        </w:numPr>
        <w:spacing w:after="40"/>
      </w:pPr>
      <w:r>
        <w:rPr>
          <w:rFonts w:ascii="Aptos" w:cs="Aptos" w:eastAsia="Aptos" w:hAnsi="Aptos"/>
          <w:b/>
          <w:bCs/>
          <w:sz w:val="22"/>
          <w:szCs w:val="22"/>
        </w:rPr>
        <w:t xml:space="preserve">assignedAgentId: </w:t>
      </w:r>
      <w:r>
        <w:rPr>
          <w:rFonts w:ascii="Aptos" w:cs="Aptos" w:eastAsia="Aptos" w:hAnsi="Aptos"/>
          <w:sz w:val="22"/>
          <w:szCs w:val="22"/>
        </w:rPr>
        <w:t xml:space="preserve">Firebase Auth UID of the assigned agent</w:t>
      </w:r>
    </w:p>
    <w:p>
      <w:pPr>
        <w:pStyle w:val="ListParagraph"/>
        <w:numPr>
          <w:ilvl w:val="0"/>
          <w:numId w:val="1"/>
        </w:numPr>
        <w:spacing w:after="40"/>
      </w:pPr>
      <w:r>
        <w:rPr>
          <w:rFonts w:ascii="Aptos" w:cs="Aptos" w:eastAsia="Aptos" w:hAnsi="Aptos"/>
          <w:b/>
          <w:bCs/>
          <w:sz w:val="22"/>
          <w:szCs w:val="22"/>
        </w:rPr>
        <w:t xml:space="preserve">assignedAgentName: </w:t>
      </w:r>
      <w:r>
        <w:rPr>
          <w:rFonts w:ascii="Aptos" w:cs="Aptos" w:eastAsia="Aptos" w:hAnsi="Aptos"/>
          <w:sz w:val="22"/>
          <w:szCs w:val="22"/>
        </w:rPr>
        <w:t xml:space="preserve">Display name of the assigned agent</w:t>
      </w:r>
    </w:p>
    <w:p>
      <w:pPr>
        <w:pStyle w:val="ListParagraph"/>
        <w:numPr>
          <w:ilvl w:val="0"/>
          <w:numId w:val="1"/>
        </w:numPr>
        <w:spacing w:after="40"/>
      </w:pPr>
      <w:r>
        <w:rPr>
          <w:rFonts w:ascii="Aptos" w:cs="Aptos" w:eastAsia="Aptos" w:hAnsi="Aptos"/>
          <w:b/>
          <w:bCs/>
          <w:sz w:val="22"/>
          <w:szCs w:val="22"/>
        </w:rPr>
        <w:t xml:space="preserve">assignedAt: </w:t>
      </w:r>
      <w:r>
        <w:rPr>
          <w:rFonts w:ascii="Aptos" w:cs="Aptos" w:eastAsia="Aptos" w:hAnsi="Aptos"/>
          <w:sz w:val="22"/>
          <w:szCs w:val="22"/>
        </w:rPr>
        <w:t xml:space="preserve">ISO 8601 timestamp of the assignment</w:t>
      </w:r>
    </w:p>
    <w:p>
      <w:pPr>
        <w:spacing w:after="100"/>
      </w:pPr>
      <w:r>
        <w:rPr>
          <w:rFonts w:ascii="Aptos" w:cs="Aptos" w:eastAsia="Aptos" w:hAnsi="Aptos"/>
          <w:sz w:val="22"/>
          <w:szCs w:val="22"/>
        </w:rPr>
        <w:t xml:space="preserve">These fields are added to both the Lead and Contact data models. An agent badge is displayed on contact and lead cards throughout the UI.</w:t>
      </w:r>
    </w:p>
    <w:p>
      <w:pPr>
        <w:pStyle w:val="Heading3"/>
        <w:spacing w:after="120" w:before="300"/>
      </w:pPr>
      <w:r>
        <w:t xml:space="preserve">BulkSMS API Integration</w:t>
      </w:r>
    </w:p>
    <w:p>
      <w:pPr>
        <w:spacing w:after="100"/>
      </w:pPr>
      <w:r>
        <w:rPr>
          <w:rFonts w:ascii="Aptos" w:cs="Aptos" w:eastAsia="Aptos" w:hAnsi="Aptos"/>
          <w:sz w:val="22"/>
          <w:szCs w:val="22"/>
        </w:rPr>
        <w:t xml:space="preserve">Real SMS sending is now wired via the BulkSMS.co.za REST API through a server-side API route.</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/api/sms/send — POST endpoint with token-based authentication</w:t>
      </w:r>
    </w:p>
    <w:p>
      <w:pPr>
        <w:pStyle w:val="ListParagraph"/>
        <w:numPr>
          <w:ilvl w:val="0"/>
          <w:numId w:val="1"/>
        </w:numPr>
        <w:spacing w:after="40"/>
      </w:pPr>
      <w:r>
        <w:rPr>
          <w:rFonts w:ascii="Aptos" w:cs="Aptos" w:eastAsia="Aptos" w:hAnsi="Aptos"/>
          <w:b/>
          <w:bCs/>
          <w:sz w:val="22"/>
          <w:szCs w:val="22"/>
        </w:rPr>
        <w:t xml:space="preserve">Auth: </w:t>
      </w:r>
      <w:r>
        <w:rPr>
          <w:rFonts w:ascii="Aptos" w:cs="Aptos" w:eastAsia="Aptos" w:hAnsi="Aptos"/>
          <w:sz w:val="22"/>
          <w:szCs w:val="22"/>
        </w:rPr>
        <w:t xml:space="preserve">BULKSMS_TOKEN_ID and BULKSMS_TOKEN_SECRET environment variables</w:t>
      </w:r>
    </w:p>
    <w:p>
      <w:pPr>
        <w:pStyle w:val="ListParagraph"/>
        <w:numPr>
          <w:ilvl w:val="0"/>
          <w:numId w:val="1"/>
        </w:numPr>
        <w:spacing w:after="40"/>
      </w:pPr>
      <w:r>
        <w:rPr>
          <w:rFonts w:ascii="Aptos" w:cs="Aptos" w:eastAsia="Aptos" w:hAnsi="Aptos"/>
          <w:b/>
          <w:bCs/>
          <w:sz w:val="22"/>
          <w:szCs w:val="22"/>
        </w:rPr>
        <w:t xml:space="preserve">Features: </w:t>
      </w:r>
      <w:r>
        <w:rPr>
          <w:rFonts w:ascii="Aptos" w:cs="Aptos" w:eastAsia="Aptos" w:hAnsi="Aptos"/>
          <w:sz w:val="22"/>
          <w:szCs w:val="22"/>
        </w:rPr>
        <w:t xml:space="preserve">Send SMS, delivery status tracking, message history in Firestore</w:t>
      </w:r>
    </w:p>
    <w:p>
      <w:pPr>
        <w:pStyle w:val="Heading3"/>
        <w:spacing w:after="120" w:before="300"/>
      </w:pPr>
      <w:r>
        <w:t xml:space="preserve">Inbound Webhook API Route</w:t>
      </w:r>
    </w:p>
    <w:p>
      <w:pPr>
        <w:spacing w:after="100"/>
      </w:pPr>
      <w:r>
        <w:rPr>
          <w:rFonts w:ascii="Aptos" w:cs="Aptos" w:eastAsia="Aptos" w:hAnsi="Aptos"/>
          <w:sz w:val="22"/>
          <w:szCs w:val="22"/>
        </w:rPr>
        <w:t xml:space="preserve">A secure webhook endpoint for automated lead injection from property portals such as Property24 and Private Property.</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/api/leads/inbound — POST endpoint with HMAC-SHA256 signature verification</w:t>
      </w:r>
    </w:p>
    <w:p>
      <w:pPr>
        <w:pStyle w:val="ListParagraph"/>
        <w:numPr>
          <w:ilvl w:val="0"/>
          <w:numId w:val="1"/>
        </w:numPr>
        <w:spacing w:after="40"/>
      </w:pPr>
      <w:r>
        <w:rPr>
          <w:rFonts w:ascii="Aptos" w:cs="Aptos" w:eastAsia="Aptos" w:hAnsi="Aptos"/>
          <w:b/>
          <w:bCs/>
          <w:sz w:val="22"/>
          <w:szCs w:val="22"/>
        </w:rPr>
        <w:t xml:space="preserve">Auth: </w:t>
      </w:r>
      <w:r>
        <w:rPr>
          <w:rFonts w:ascii="Aptos" w:cs="Aptos" w:eastAsia="Aptos" w:hAnsi="Aptos"/>
          <w:sz w:val="22"/>
          <w:szCs w:val="22"/>
        </w:rPr>
        <w:t xml:space="preserve">INBOUND_WEBHOOK_SECRET environment variable for HMAC signing</w:t>
      </w:r>
    </w:p>
    <w:p>
      <w:pPr>
        <w:pStyle w:val="ListParagraph"/>
        <w:numPr>
          <w:ilvl w:val="0"/>
          <w:numId w:val="1"/>
        </w:numPr>
        <w:spacing w:after="40"/>
      </w:pPr>
      <w:r>
        <w:rPr>
          <w:rFonts w:ascii="Aptos" w:cs="Aptos" w:eastAsia="Aptos" w:hAnsi="Aptos"/>
          <w:b/>
          <w:bCs/>
          <w:sz w:val="22"/>
          <w:szCs w:val="22"/>
        </w:rPr>
        <w:t xml:space="preserve">Flow: </w:t>
      </w:r>
      <w:r>
        <w:rPr>
          <w:rFonts w:ascii="Aptos" w:cs="Aptos" w:eastAsia="Aptos" w:hAnsi="Aptos"/>
          <w:sz w:val="22"/>
          <w:szCs w:val="22"/>
        </w:rPr>
        <w:t xml:space="preserve">Webhook → signature verification → parse payload → create InboundLead document</w:t>
      </w:r>
    </w:p>
    <w:p>
      <w:pPr>
        <w:pStyle w:val="Heading3"/>
        <w:spacing w:after="120" w:before="300"/>
      </w:pPr>
      <w:r>
        <w:t xml:space="preserve">Firebase Storage for Documents</w:t>
      </w:r>
    </w:p>
    <w:p>
      <w:pPr>
        <w:spacing w:after="100"/>
      </w:pPr>
      <w:r>
        <w:rPr>
          <w:rFonts w:ascii="Aptos" w:cs="Aptos" w:eastAsia="Aptos" w:hAnsi="Aptos"/>
          <w:sz w:val="22"/>
          <w:szCs w:val="22"/>
        </w:rPr>
        <w:t xml:space="preserve">Document uploads are now stored in Firebase Storage with security rules scoped by ownerId. The upload handler supports file type validation, size limits, and automatic metadata tagging. This replaces the previous placeholder URL system.</w:t>
      </w:r>
    </w:p>
    <w:p>
      <w:pPr>
        <w:pStyle w:val="Heading3"/>
        <w:spacing w:after="120" w:before="300"/>
      </w:pPr>
      <w:r>
        <w:t xml:space="preserve">Pipeline UX Improvements</w:t>
      </w:r>
    </w:p>
    <w:p>
      <w:pPr>
        <w:spacing w:after="100"/>
      </w:pPr>
      <w:r>
        <w:rPr>
          <w:rFonts w:ascii="Aptos" w:cs="Aptos" w:eastAsia="Aptos" w:hAnsi="Aptos"/>
          <w:sz w:val="22"/>
          <w:szCs w:val="22"/>
        </w:rPr>
        <w:t xml:space="preserve">Pipeline cards on both the lead and transaction Kanban boards now support full click-through navigation. Clicking any card navigates to the corresponding detail page.</w:t>
      </w:r>
    </w:p>
    <w:p>
      <w:pPr>
        <w:pStyle w:val="Heading3"/>
        <w:spacing w:after="120" w:before="300"/>
      </w:pPr>
      <w:r>
        <w:t xml:space="preserve">Health Check API</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/api/health — GET endpoint returning { status: 'healthy', timestamp }</w:t>
      </w:r>
    </w:p>
    <w:p>
      <w:pPr>
        <w:pStyle w:val="Heading3"/>
        <w:spacing w:after="120" w:before="300"/>
      </w:pPr>
      <w:r>
        <w:t xml:space="preserve">Updated Scale Metrics</w:t>
      </w:r>
    </w:p>
    <w:p>
      <w:pPr>
        <w:spacing w:after="100"/>
      </w:pPr>
      <w:r>
        <w:rPr>
          <w:rFonts w:ascii="Aptos" w:cs="Aptos" w:eastAsia="Aptos" w:hAnsi="Aptos"/>
          <w:sz w:val="22"/>
          <w:szCs w:val="22"/>
        </w:rPr>
        <w:t xml:space="preserve">16 Firestore collections · 76+ database functions · 26 page routes · 3 API routes · 1,604 seed records · 61 unit tests · 89 E2E tests</w:t>
      </w:r>
    </w:p>
    <w:p>
      <w:pPr>
        <w:pStyle w:val="Heading2"/>
        <w:spacing w:after="120" w:before="300"/>
      </w:pPr>
      <w:r>
        <w:t xml:space="preserve">v1.1.0 Feature Additions</w:t>
      </w:r>
    </w:p>
    <w:p>
      <w:pPr>
        <w:spacing w:after="100"/>
      </w:pPr>
      <w:r>
        <w:rPr>
          <w:rFonts w:ascii="Aptos" w:cs="Aptos" w:eastAsia="Aptos" w:hAnsi="Aptos"/>
          <w:sz w:val="22"/>
          <w:szCs w:val="22"/>
        </w:rPr>
        <w:t xml:space="preserve">The following features were added in v1.1.0 to deliver AI-powered analytics, advanced buyer matching, and comprehensive compliance tooling.</w:t>
      </w:r>
    </w:p>
    <w:p>
      <w:pPr>
        <w:pStyle w:val="Heading3"/>
        <w:spacing w:after="120" w:before="300"/>
      </w:pPr>
      <w:r>
        <w:t xml:space="preserve">Gemini AI CMA Research</w:t>
      </w:r>
    </w:p>
    <w:p>
      <w:pPr>
        <w:spacing w:after="100"/>
      </w:pPr>
      <w:r>
        <w:rPr>
          <w:rFonts w:ascii="Aptos" w:cs="Aptos" w:eastAsia="Aptos" w:hAnsi="Aptos"/>
          <w:sz w:val="22"/>
          <w:szCs w:val="22"/>
        </w:rPr>
        <w:t xml:space="preserve">Comparative Market Analysis reports are now powered by Google Gemini 2.0 Flash with Google Search grounding. The /api/cma/research endpoint accepts a property address and returns AI-generated neighbourhood insights, recent comparable sales, and pricing recommendations.</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/api/cma/research — POST endpoint using @google/genai SDK</w:t>
      </w:r>
    </w:p>
    <w:p>
      <w:pPr>
        <w:pStyle w:val="ListParagraph"/>
        <w:numPr>
          <w:ilvl w:val="0"/>
          <w:numId w:val="1"/>
        </w:numPr>
        <w:spacing w:after="40"/>
      </w:pPr>
      <w:r>
        <w:rPr>
          <w:rFonts w:ascii="Aptos" w:cs="Aptos" w:eastAsia="Aptos" w:hAnsi="Aptos"/>
          <w:b/>
          <w:bCs/>
          <w:sz w:val="22"/>
          <w:szCs w:val="22"/>
        </w:rPr>
        <w:t xml:space="preserve">Model: </w:t>
      </w:r>
      <w:r>
        <w:rPr>
          <w:rFonts w:ascii="Aptos" w:cs="Aptos" w:eastAsia="Aptos" w:hAnsi="Aptos"/>
          <w:sz w:val="22"/>
          <w:szCs w:val="22"/>
        </w:rPr>
        <w:t xml:space="preserve">gemini-2.0-flash with Google Search grounding tool</w:t>
      </w:r>
    </w:p>
    <w:p>
      <w:pPr>
        <w:pStyle w:val="ListParagraph"/>
        <w:numPr>
          <w:ilvl w:val="0"/>
          <w:numId w:val="1"/>
        </w:numPr>
        <w:spacing w:after="40"/>
      </w:pPr>
      <w:r>
        <w:rPr>
          <w:rFonts w:ascii="Aptos" w:cs="Aptos" w:eastAsia="Aptos" w:hAnsi="Aptos"/>
          <w:b/>
          <w:bCs/>
          <w:sz w:val="22"/>
          <w:szCs w:val="22"/>
        </w:rPr>
        <w:t xml:space="preserve">Output: </w:t>
      </w:r>
      <w:r>
        <w:rPr>
          <w:rFonts w:ascii="Aptos" w:cs="Aptos" w:eastAsia="Aptos" w:hAnsi="Aptos"/>
          <w:sz w:val="22"/>
          <w:szCs w:val="22"/>
        </w:rPr>
        <w:t xml:space="preserve">CMA PDF document with neighbourhood analysis, comparable sales, and pricing recommendation</w:t>
      </w:r>
    </w:p>
    <w:p>
      <w:pPr>
        <w:pStyle w:val="Heading3"/>
        <w:spacing w:after="120" w:before="300"/>
      </w:pPr>
      <w:r>
        <w:t xml:space="preserve">Buyer-Match Engine</w:t>
      </w:r>
    </w:p>
    <w:p>
      <w:pPr>
        <w:spacing w:after="100"/>
      </w:pPr>
      <w:r>
        <w:rPr>
          <w:rFonts w:ascii="Aptos" w:cs="Aptos" w:eastAsia="Aptos" w:hAnsi="Aptos"/>
          <w:sz w:val="22"/>
          <w:szCs w:val="22"/>
        </w:rPr>
        <w:t xml:space="preserve">An algorithmic matching system that pairs buyer requirements with available property listings. Scores are computed across price range, location, bedroom count, property type, and amenity overlap.</w:t>
      </w:r>
    </w:p>
    <w:p>
      <w:pPr>
        <w:pStyle w:val="Heading3"/>
        <w:spacing w:after="120" w:before="300"/>
      </w:pPr>
      <w:r>
        <w:t xml:space="preserve">Compliance Dashboard</w:t>
      </w:r>
    </w:p>
    <w:p>
      <w:pPr>
        <w:spacing w:after="100"/>
      </w:pPr>
      <w:r>
        <w:rPr>
          <w:rFonts w:ascii="Aptos" w:cs="Aptos" w:eastAsia="Aptos" w:hAnsi="Aptos"/>
          <w:sz w:val="22"/>
          <w:szCs w:val="22"/>
        </w:rPr>
        <w:t xml:space="preserve">A centralised compliance view that surfaces FICA document expiry, missing mandatory documents, and regulatory checklist status for every active transaction.</w:t>
      </w:r>
    </w:p>
    <w:p>
      <w:pPr>
        <w:pStyle w:val="Heading3"/>
        <w:spacing w:after="120" w:before="300"/>
      </w:pPr>
      <w:r>
        <w:t xml:space="preserve">Lead ROI Analytics</w:t>
      </w:r>
    </w:p>
    <w:p>
      <w:pPr>
        <w:spacing w:after="100"/>
      </w:pPr>
      <w:r>
        <w:rPr>
          <w:rFonts w:ascii="Aptos" w:cs="Aptos" w:eastAsia="Aptos" w:hAnsi="Aptos"/>
          <w:sz w:val="22"/>
          <w:szCs w:val="22"/>
        </w:rPr>
        <w:t xml:space="preserve">Source-level ROI reporting across all lead channels. Tracks cost-per-lead, conversion rates, revenue attribution, and ROI percentage per source (Portal, Referral, Walk-in, Digital Ad, Show Day, Social).</w:t>
      </w:r>
    </w:p>
    <w:p>
      <w:pPr>
        <w:pStyle w:val="Heading3"/>
        <w:spacing w:after="120" w:before="300"/>
      </w:pPr>
      <w:r>
        <w:t xml:space="preserve">Speed-to-Lead Metrics</w:t>
      </w:r>
    </w:p>
    <w:p>
      <w:pPr>
        <w:spacing w:after="100"/>
      </w:pPr>
      <w:r>
        <w:rPr>
          <w:rFonts w:ascii="Aptos" w:cs="Aptos" w:eastAsia="Aptos" w:hAnsi="Aptos"/>
          <w:sz w:val="22"/>
          <w:szCs w:val="22"/>
        </w:rPr>
        <w:t xml:space="preserve">Measures response time from lead creation to first agent contact. Dashboard shows average response times, distribution charts, and alerts for leads exceeding SLA thresholds.</w:t>
      </w:r>
    </w:p>
    <w:p>
      <w:pPr>
        <w:pStyle w:val="Heading3"/>
        <w:spacing w:after="120" w:before="300"/>
      </w:pPr>
      <w:r>
        <w:t xml:space="preserve">Show Day Management</w:t>
      </w:r>
    </w:p>
    <w:p>
      <w:pPr>
        <w:spacing w:after="100"/>
      </w:pPr>
      <w:r>
        <w:rPr>
          <w:rFonts w:ascii="Aptos" w:cs="Aptos" w:eastAsia="Aptos" w:hAnsi="Aptos"/>
          <w:sz w:val="22"/>
          <w:szCs w:val="22"/>
        </w:rPr>
        <w:t xml:space="preserve">Full show day lifecycle management — create events linked to properties, track attendees via QR code sign-in, capture visitor details, and convert attendees to leads.</w:t>
      </w:r>
    </w:p>
    <w:p>
      <w:pPr>
        <w:pStyle w:val="Heading3"/>
        <w:spacing w:after="120" w:before="300"/>
      </w:pPr>
      <w:r>
        <w:t xml:space="preserve">Zod 4 Runtime Validation</w:t>
      </w:r>
    </w:p>
    <w:p>
      <w:pPr>
        <w:spacing w:after="100"/>
      </w:pPr>
      <w:r>
        <w:rPr>
          <w:rFonts w:ascii="Aptos" w:cs="Aptos" w:eastAsia="Aptos" w:hAnsi="Aptos"/>
          <w:sz w:val="22"/>
          <w:szCs w:val="22"/>
        </w:rPr>
        <w:t xml:space="preserve">All Firestore document reads are now validated at runtime using Zod 4.3.6 schemas. Every collection has a corresponding schema ensuring type safety at the database boundary.</w:t>
      </w:r>
    </w:p>
    <w:p>
      <w:pPr>
        <w:pStyle w:val="Heading3"/>
        <w:spacing w:after="120" w:before="300"/>
      </w:pPr>
      <w:r>
        <w:t xml:space="preserve">Updated Scale Metrics (v1.1.0)</w:t>
      </w:r>
    </w:p>
    <w:p>
      <w:pPr>
        <w:spacing w:after="100"/>
      </w:pPr>
      <w:r>
        <w:rPr>
          <w:rFonts w:ascii="Aptos" w:cs="Aptos" w:eastAsia="Aptos" w:hAnsi="Aptos"/>
          <w:sz w:val="22"/>
          <w:szCs w:val="22"/>
        </w:rPr>
        <w:t xml:space="preserve">16 Firestore collections · 76+ database functions · 26 page routes · 4 API routes · 1,604 seed records · 83 unit tests · 89 E2E tests · 172 total tests</w:t>
      </w: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v1.1.0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Features &amp; Data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Features &amp; Data Model</dc:title>
  <dc:creator>Thina CRM Team</dc:creator>
  <dc:description>Features &amp; Data Model — Thina CRM Documentation</dc:description>
  <cp:lastModifiedBy>Un-named</cp:lastModifiedBy>
  <cp:revision>1</cp:revision>
  <dcterms:created xsi:type="dcterms:W3CDTF">2026-04-20T17:33:29.127Z</dcterms:created>
  <dcterms:modified xsi:type="dcterms:W3CDTF">2026-04-20T17:33:29.127Z</dcterms:modified>
</cp:coreProperties>
</file>

<file path=docProps/custom.xml><?xml version="1.0" encoding="utf-8"?>
<Properties xmlns="http://schemas.openxmlformats.org/officeDocument/2006/custom-properties" xmlns:vt="http://schemas.openxmlformats.org/officeDocument/2006/docPropsVTypes"/>
</file>