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Marketing &amp; Feature Guide</w:t>
      </w:r>
    </w:p>
    <w:p>
      <w:pPr>
        <w:spacing w:after="60"/>
        <w:jc w:val="center"/>
      </w:pPr>
      <w:r>
        <w:rPr>
          <w:rFonts w:ascii="Aptos" w:cs="Aptos" w:eastAsia="Aptos" w:hAnsi="Aptos"/>
          <w:color w:val="71717A"/>
          <w:sz w:val="24"/>
          <w:szCs w:val="24"/>
        </w:rPr>
        <w:t xml:space="preserve">Audience-segmented feature overview for agency principals, agents, and clients</w:t>
      </w:r>
    </w:p>
    <w:p>
      <w:pPr>
        <w:spacing w:after="60"/>
        <w:jc w:val="center"/>
      </w:pPr>
      <w:r>
        <w:rPr>
          <w:rFonts w:ascii="Aptos" w:cs="Aptos" w:eastAsia="Aptos" w:hAnsi="Aptos"/>
          <w:color w:val="71717A"/>
          <w:sz w:val="28"/>
          <w:szCs w:val="28"/>
        </w:rPr>
        <w:t xml:space="preserve">Version 1.1.0</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r>
        <w:br w:type="page"/>
      </w:r>
    </w:p>
    <w:p>
      <w:pPr>
        <w:pStyle w:val="Heading1"/>
        <w:spacing w:after="120" w:before="300"/>
      </w:pPr>
      <w:r>
        <w:t xml:space="preserve">v1.0.1 — New Capabilities</w:t>
      </w:r>
    </w:p>
    <w:p>
      <w:pPr>
        <w:spacing w:after="100"/>
      </w:pPr>
      <w:r>
        <w:rPr>
          <w:rFonts w:ascii="Aptos" w:cs="Aptos" w:eastAsia="Aptos" w:hAnsi="Aptos"/>
          <w:sz w:val="22"/>
          <w:szCs w:val="22"/>
        </w:rPr>
        <w:t xml:space="preserve">The following capabilities have been added in v1.0.1, moving from 'planned' to 'live' status.</w:t>
      </w:r>
    </w:p>
    <w:p>
      <w:pPr>
        <w:pStyle w:val="Heading2"/>
        <w:spacing w:after="120" w:before="300"/>
      </w:pPr>
      <w:r>
        <w:t xml:space="preserve">Now Live: BulkSMS API Integration</w:t>
      </w:r>
    </w:p>
    <w:p>
      <w:pPr>
        <w:spacing w:after="100"/>
      </w:pPr>
      <w:r>
        <w:rPr>
          <w:rFonts w:ascii="Aptos" w:cs="Aptos" w:eastAsia="Aptos" w:hAnsi="Aptos"/>
          <w:sz w:val="22"/>
          <w:szCs w:val="22"/>
        </w:rPr>
        <w:t xml:space="preserve">Thina CRM now sends real SMS messages through the BulkSMS.co.za API — South Africa's leading SMS gateway. Agents can compose and send SMS directly from the Messaging page, with delivery status tracking and full message history.</w:t>
      </w:r>
    </w:p>
    <w:p>
      <w:pPr>
        <w:pStyle w:val="Heading2"/>
        <w:spacing w:after="120" w:before="300"/>
      </w:pPr>
      <w:r>
        <w:t xml:space="preserve">Now Live: Automated Portal Lead Injection</w:t>
      </w:r>
    </w:p>
    <w:p>
      <w:pPr>
        <w:spacing w:after="100"/>
      </w:pPr>
      <w:r>
        <w:rPr>
          <w:rFonts w:ascii="Aptos" w:cs="Aptos" w:eastAsia="Aptos" w:hAnsi="Aptos"/>
          <w:sz w:val="22"/>
          <w:szCs w:val="22"/>
        </w:rPr>
        <w:t xml:space="preserve">Property portal leads from Property24 and Private Property are now injected automatically via a secure webhook endpoint with HMAC-SHA256 signature verification. No more manually copying leads from emails — they appear instantly in the Inbound Leads queue for review and acceptance.</w:t>
      </w:r>
    </w:p>
    <w:p>
      <w:pPr>
        <w:pStyle w:val="Heading2"/>
        <w:spacing w:after="120" w:before="300"/>
      </w:pPr>
      <w:r>
        <w:t xml:space="preserve">Now Live: Customer-Agent Assignment</w:t>
      </w:r>
    </w:p>
    <w:p>
      <w:pPr>
        <w:spacing w:after="100"/>
      </w:pPr>
      <w:r>
        <w:rPr>
          <w:rFonts w:ascii="Aptos" w:cs="Aptos" w:eastAsia="Aptos" w:hAnsi="Aptos"/>
          <w:sz w:val="22"/>
          <w:szCs w:val="22"/>
        </w:rPr>
        <w:t xml:space="preserve">Every lead and contact is now assigned to a specific agent with lock-on-first-touch ownership. Agent badges appear on cards throughout the system, ensuring clear accountability and preventing leads from falling through the cracks.</w:t>
      </w:r>
    </w:p>
    <w:p>
      <w:pPr>
        <w:pStyle w:val="Heading2"/>
        <w:spacing w:after="120" w:before="300"/>
      </w:pPr>
      <w:r>
        <w:t xml:space="preserve">Now Live: Firebase Storage Document Vault</w:t>
      </w:r>
    </w:p>
    <w:p>
      <w:pPr>
        <w:spacing w:after="100"/>
      </w:pPr>
      <w:r>
        <w:rPr>
          <w:rFonts w:ascii="Aptos" w:cs="Aptos" w:eastAsia="Aptos" w:hAnsi="Aptos"/>
          <w:sz w:val="22"/>
          <w:szCs w:val="22"/>
        </w:rPr>
        <w:t xml:space="preserve">The Document Vault now supports real file uploads to Firebase Storage with security rules scoped by agent. Upload FICA documents, OTPs, mandates, and bond applications with automatic categorisation and metadata tagging.</w:t>
      </w:r>
    </w:p>
    <w:p>
      <w:pPr>
        <w:pStyle w:val="Heading2"/>
        <w:spacing w:after="120" w:before="300"/>
      </w:pPr>
      <w:r>
        <w:t xml:space="preserve">Now Live: Pipeline Click-Through</w:t>
      </w:r>
    </w:p>
    <w:p>
      <w:pPr>
        <w:spacing w:after="100"/>
      </w:pPr>
      <w:r>
        <w:rPr>
          <w:rFonts w:ascii="Aptos" w:cs="Aptos" w:eastAsia="Aptos" w:hAnsi="Aptos"/>
          <w:sz w:val="22"/>
          <w:szCs w:val="22"/>
        </w:rPr>
        <w:t xml:space="preserve">Pipeline board cards are now fully interactive — click any lead or transaction card to navigate directly to its detail page for faster workflow.</w:t>
      </w:r>
    </w:p>
    <w:p>
      <w:pPr>
        <w:pStyle w:val="Heading2"/>
        <w:spacing w:after="120" w:before="300"/>
      </w:pPr>
      <w:r>
        <w:t xml:space="preserve">Updated Platform Summary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Firestore Collections</w:t>
            </w:r>
          </w:p>
        </w:tc>
        <w:tc>
          <w:p>
            <w:r>
              <w:rPr>
                <w:rFonts w:ascii="Aptos" w:cs="Aptos" w:eastAsia="Aptos" w:hAnsi="Aptos"/>
                <w:sz w:val="20"/>
                <w:szCs w:val="20"/>
              </w:rPr>
              <w:t xml:space="preserve">16</w:t>
            </w:r>
          </w:p>
        </w:tc>
      </w:tr>
      <w:tr>
        <w:tc>
          <w:p>
            <w:r>
              <w:rPr>
                <w:rFonts w:ascii="Aptos" w:cs="Aptos" w:eastAsia="Aptos" w:hAnsi="Aptos"/>
                <w:sz w:val="20"/>
                <w:szCs w:val="20"/>
              </w:rPr>
              <w:t xml:space="preserve">Database Functions</w:t>
            </w:r>
          </w:p>
        </w:tc>
        <w:tc>
          <w:p>
            <w:r>
              <w:rPr>
                <w:rFonts w:ascii="Aptos" w:cs="Aptos" w:eastAsia="Aptos" w:hAnsi="Aptos"/>
                <w:sz w:val="20"/>
                <w:szCs w:val="20"/>
              </w:rPr>
              <w:t xml:space="preserve">76+</w:t>
            </w:r>
          </w:p>
        </w:tc>
      </w:tr>
      <w:tr>
        <w:tc>
          <w:p>
            <w:r>
              <w:rPr>
                <w:rFonts w:ascii="Aptos" w:cs="Aptos" w:eastAsia="Aptos" w:hAnsi="Aptos"/>
                <w:sz w:val="20"/>
                <w:szCs w:val="20"/>
              </w:rPr>
              <w:t xml:space="preserve">Page Routes</w:t>
            </w:r>
          </w:p>
        </w:tc>
        <w:tc>
          <w:p>
            <w:r>
              <w:rPr>
                <w:rFonts w:ascii="Aptos" w:cs="Aptos" w:eastAsia="Aptos" w:hAnsi="Aptos"/>
                <w:sz w:val="20"/>
                <w:szCs w:val="20"/>
              </w:rPr>
              <w:t xml:space="preserve">26</w:t>
            </w:r>
          </w:p>
        </w:tc>
      </w:tr>
      <w:tr>
        <w:tc>
          <w:p>
            <w:r>
              <w:rPr>
                <w:rFonts w:ascii="Aptos" w:cs="Aptos" w:eastAsia="Aptos" w:hAnsi="Aptos"/>
                <w:sz w:val="20"/>
                <w:szCs w:val="20"/>
              </w:rPr>
              <w:t xml:space="preserve">API Routes</w:t>
            </w:r>
          </w:p>
        </w:tc>
        <w:tc>
          <w:p>
            <w:r>
              <w:rPr>
                <w:rFonts w:ascii="Aptos" w:cs="Aptos" w:eastAsia="Aptos" w:hAnsi="Aptos"/>
                <w:sz w:val="20"/>
                <w:szCs w:val="20"/>
              </w:rPr>
              <w:t xml:space="preserve">4 (health, sms/send, leads/inbound, cma/research)</w:t>
            </w:r>
          </w:p>
        </w:tc>
      </w:tr>
      <w:tr>
        <w:tc>
          <w:p>
            <w:r>
              <w:rPr>
                <w:rFonts w:ascii="Aptos" w:cs="Aptos" w:eastAsia="Aptos" w:hAnsi="Aptos"/>
                <w:sz w:val="20"/>
                <w:szCs w:val="20"/>
              </w:rPr>
              <w:t xml:space="preserve">Seed Records</w:t>
            </w:r>
          </w:p>
        </w:tc>
        <w:tc>
          <w:p>
            <w:r>
              <w:rPr>
                <w:rFonts w:ascii="Aptos" w:cs="Aptos" w:eastAsia="Aptos" w:hAnsi="Aptos"/>
                <w:sz w:val="20"/>
                <w:szCs w:val="20"/>
              </w:rPr>
              <w:t xml:space="preserve">1,604</w:t>
            </w:r>
          </w:p>
        </w:tc>
      </w:tr>
      <w:tr>
        <w:tc>
          <w:p>
            <w:r>
              <w:rPr>
                <w:rFonts w:ascii="Aptos" w:cs="Aptos" w:eastAsia="Aptos" w:hAnsi="Aptos"/>
                <w:sz w:val="20"/>
                <w:szCs w:val="20"/>
              </w:rPr>
              <w:t xml:space="preserve">Unit Tests</w:t>
            </w:r>
          </w:p>
        </w:tc>
        <w:tc>
          <w:p>
            <w:r>
              <w:rPr>
                <w:rFonts w:ascii="Aptos" w:cs="Aptos" w:eastAsia="Aptos" w:hAnsi="Aptos"/>
                <w:sz w:val="20"/>
                <w:szCs w:val="20"/>
              </w:rPr>
              <w:t xml:space="preserve">83</w:t>
            </w:r>
          </w:p>
        </w:tc>
      </w:tr>
      <w:tr>
        <w:tc>
          <w:p>
            <w:r>
              <w:rPr>
                <w:rFonts w:ascii="Aptos" w:cs="Aptos" w:eastAsia="Aptos" w:hAnsi="Aptos"/>
                <w:sz w:val="20"/>
                <w:szCs w:val="20"/>
              </w:rPr>
              <w:t xml:space="preserve">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Total Tests</w:t>
            </w:r>
          </w:p>
        </w:tc>
        <w:tc>
          <w:p>
            <w:r>
              <w:rPr>
                <w:rFonts w:ascii="Aptos" w:cs="Aptos" w:eastAsia="Aptos" w:hAnsi="Aptos"/>
                <w:sz w:val="20"/>
                <w:szCs w:val="20"/>
              </w:rPr>
              <w:t xml:space="preserve">172</w:t>
            </w:r>
          </w:p>
        </w:tc>
      </w:tr>
    </w:tbl>
    <w:p>
      <w:pPr>
        <w:spacing w:after="40"/>
      </w:pPr>
    </w:p>
    <w:p>
      <w:pPr>
        <w:pStyle w:val="Heading1"/>
        <w:spacing w:after="120" w:before="300"/>
      </w:pPr>
      <w:r>
        <w:t xml:space="preserve">v1.1.0 — New Capabilities</w:t>
      </w:r>
    </w:p>
    <w:p>
      <w:pPr>
        <w:spacing w:after="100"/>
      </w:pPr>
      <w:r>
        <w:rPr>
          <w:rFonts w:ascii="Aptos" w:cs="Aptos" w:eastAsia="Aptos" w:hAnsi="Aptos"/>
          <w:sz w:val="22"/>
          <w:szCs w:val="22"/>
        </w:rPr>
        <w:t xml:space="preserve">The following capabilities have been added in v1.1.0, delivering AI-powered analytics and advanced operational tooling.</w:t>
      </w:r>
    </w:p>
    <w:p>
      <w:pPr>
        <w:pStyle w:val="Heading2"/>
        <w:spacing w:after="120" w:before="300"/>
      </w:pPr>
      <w:r>
        <w:t xml:space="preserve">Now Live: Gemini AI CMA Research</w:t>
      </w:r>
    </w:p>
    <w:p>
      <w:pPr>
        <w:spacing w:after="100"/>
      </w:pPr>
      <w:r>
        <w:rPr>
          <w:rFonts w:ascii="Aptos" w:cs="Aptos" w:eastAsia="Aptos" w:hAnsi="Aptos"/>
          <w:sz w:val="22"/>
          <w:szCs w:val="22"/>
        </w:rPr>
        <w:t xml:space="preserve">Thina CRM now generates Comparative Market Analysis reports powered by Google Gemini 2.0 Flash with live Google Search grounding. Agents enter a property address and receive AI-researched neighbourhood insights, comparable sales data, and pricing recommendations — delivered as a downloadable PDF.</w:t>
      </w:r>
    </w:p>
    <w:p>
      <w:pPr>
        <w:pStyle w:val="Heading2"/>
        <w:spacing w:after="120" w:before="300"/>
      </w:pPr>
      <w:r>
        <w:t xml:space="preserve">Now Live: Buyer-Match Engine</w:t>
      </w:r>
    </w:p>
    <w:p>
      <w:pPr>
        <w:spacing w:after="100"/>
      </w:pPr>
      <w:r>
        <w:rPr>
          <w:rFonts w:ascii="Aptos" w:cs="Aptos" w:eastAsia="Aptos" w:hAnsi="Aptos"/>
          <w:sz w:val="22"/>
          <w:szCs w:val="22"/>
        </w:rPr>
        <w:t xml:space="preserve">An algorithmic matching system pairs buyer requirements with available listings. Match scores are computed across price, location, bedrooms, property type, and amenities — helping agents connect the right buyer to the right property instantly.</w:t>
      </w:r>
    </w:p>
    <w:p>
      <w:pPr>
        <w:pStyle w:val="Heading2"/>
        <w:spacing w:after="120" w:before="300"/>
      </w:pPr>
      <w:r>
        <w:t xml:space="preserve">Now Live: Compliance Dashboard</w:t>
      </w:r>
    </w:p>
    <w:p>
      <w:pPr>
        <w:spacing w:after="100"/>
      </w:pPr>
      <w:r>
        <w:rPr>
          <w:rFonts w:ascii="Aptos" w:cs="Aptos" w:eastAsia="Aptos" w:hAnsi="Aptos"/>
          <w:sz w:val="22"/>
          <w:szCs w:val="22"/>
        </w:rPr>
        <w:t xml:space="preserve">A centralised compliance view surfaces FICA expiry, missing mandatory documents, and regulatory checklist status. Every active transaction is monitored for compliance readiness.</w:t>
      </w:r>
    </w:p>
    <w:p>
      <w:pPr>
        <w:pStyle w:val="Heading2"/>
        <w:spacing w:after="120" w:before="300"/>
      </w:pPr>
      <w:r>
        <w:t xml:space="preserve">Now Live: Lead ROI Analytics</w:t>
      </w:r>
    </w:p>
    <w:p>
      <w:pPr>
        <w:spacing w:after="100"/>
      </w:pPr>
      <w:r>
        <w:rPr>
          <w:rFonts w:ascii="Aptos" w:cs="Aptos" w:eastAsia="Aptos" w:hAnsi="Aptos"/>
          <w:sz w:val="22"/>
          <w:szCs w:val="22"/>
        </w:rPr>
        <w:t xml:space="preserve">Source-level ROI reporting tracks cost-per-lead, conversion rates, and revenue attribution across Portal, Referral, Walk-in, Digital Ad, Show Day, and Social channels. Principals can instantly see which sources deliver the best return.</w:t>
      </w:r>
    </w:p>
    <w:p>
      <w:pPr>
        <w:pStyle w:val="Heading2"/>
        <w:spacing w:after="120" w:before="300"/>
      </w:pPr>
      <w:r>
        <w:t xml:space="preserve">Now Live: Speed-to-Lead Metrics</w:t>
      </w:r>
    </w:p>
    <w:p>
      <w:pPr>
        <w:spacing w:after="100"/>
      </w:pPr>
      <w:r>
        <w:rPr>
          <w:rFonts w:ascii="Aptos" w:cs="Aptos" w:eastAsia="Aptos" w:hAnsi="Aptos"/>
          <w:sz w:val="22"/>
          <w:szCs w:val="22"/>
        </w:rPr>
        <w:t xml:space="preserve">Response time measurement from lead creation to first agent contact, with average response times, distribution analysis, and SLA breach alerts.</w:t>
      </w:r>
    </w:p>
    <w:p>
      <w:pPr>
        <w:pStyle w:val="Heading2"/>
        <w:spacing w:after="120" w:before="300"/>
      </w:pPr>
      <w:r>
        <w:t xml:space="preserve">Now Live: Show Day Management</w:t>
      </w:r>
    </w:p>
    <w:p>
      <w:pPr>
        <w:spacing w:after="100"/>
      </w:pPr>
      <w:r>
        <w:rPr>
          <w:rFonts w:ascii="Aptos" w:cs="Aptos" w:eastAsia="Aptos" w:hAnsi="Aptos"/>
          <w:sz w:val="22"/>
          <w:szCs w:val="22"/>
        </w:rPr>
        <w:t xml:space="preserve">Full show day lifecycle — create events, link to properties, track attendees via QR code sign-in, and convert visitors to leads.</w:t>
      </w:r>
    </w:p>
    <w:p>
      <w:pPr>
        <w:pStyle w:val="Heading2"/>
        <w:spacing w:after="120" w:before="300"/>
      </w:pPr>
      <w:r>
        <w:t xml:space="preserve">Now Live: Zod 4 Runtime Validation</w:t>
      </w:r>
    </w:p>
    <w:p>
      <w:pPr>
        <w:spacing w:after="100"/>
      </w:pPr>
      <w:r>
        <w:rPr>
          <w:rFonts w:ascii="Aptos" w:cs="Aptos" w:eastAsia="Aptos" w:hAnsi="Aptos"/>
          <w:sz w:val="22"/>
          <w:szCs w:val="22"/>
        </w:rPr>
        <w:t xml:space="preserve">All Firestore document reads are validated at runtime with Zod 4.3.6 schemas, ensuring type safety at the database boundary.</w:t>
      </w:r>
    </w:p>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v1.1.0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Marketing &amp; Feature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Marketing &amp; Feature Guide</dc:title>
  <dc:creator>Thina CRM Team</dc:creator>
  <dc:description>Marketing &amp; Feature Guide — Thina CRM Documentation</dc:description>
  <cp:lastModifiedBy>Un-named</cp:lastModifiedBy>
  <cp:revision>1</cp:revision>
  <dcterms:created xsi:type="dcterms:W3CDTF">2026-04-20T17:33:29.184Z</dcterms:created>
  <dcterms:modified xsi:type="dcterms:W3CDTF">2026-04-20T17:33:29.184Z</dcterms:modified>
</cp:coreProperties>
</file>

<file path=docProps/custom.xml><?xml version="1.0" encoding="utf-8"?>
<Properties xmlns="http://schemas.openxmlformats.org/officeDocument/2006/custom-properties" xmlns:vt="http://schemas.openxmlformats.org/officeDocument/2006/docPropsVTypes"/>
</file>