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User Training Guide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Step-by-step instructions for every feature in Thina CRM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1.1.0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v1.0.1 — New Feature Training</w:t>
      </w:r>
    </w:p>
    <w:p>
      <w:pPr>
        <w:pStyle w:val="Heading2"/>
        <w:spacing w:after="120" w:before="300"/>
      </w:pPr>
      <w:r>
        <w:t xml:space="preserve">Agent Assignment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lead and contact in Thina CRM is now assigned to a specific agent. This ensures accountability and prevents leads from falling through the cracks.</w:t>
      </w:r>
    </w:p>
    <w:p>
      <w:pPr>
        <w:pStyle w:val="Heading3"/>
        <w:spacing w:after="120" w:before="300"/>
      </w:pPr>
      <w:r>
        <w:t xml:space="preserve">How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When you create a new lead or contact, you are automatically assigned as the owner.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Your name and avatar appear as an 'Agent Badge' on each lead/contact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Assignment is permanent (lock-on-first-touch) — the first agent to engage with a customer owns the relationship.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You can view all your assigned leads and contacts from the respective list pages.</w:t>
      </w:r>
    </w:p>
    <w:p>
      <w:pPr>
        <w:pStyle w:val="Heading2"/>
        <w:spacing w:after="120" w:before="300"/>
      </w:pPr>
      <w:r>
        <w:t xml:space="preserve">Document Upload with Firebase Storage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Document Vault now supports real file uploads powered by Firebase Storage.</w:t>
      </w:r>
    </w:p>
    <w:p>
      <w:pPr>
        <w:pStyle w:val="Heading3"/>
        <w:spacing w:after="120" w:before="300"/>
      </w:pPr>
      <w:r>
        <w:t xml:space="preserve">How to Upload a Document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Documents from the sidebar (under Transactions).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the 'Upload Document' button to open the upload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the document category (FICA, OTP, Mandate, Bond, or Other).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Choose a file from your device. Supported types: PDF, JPEG, PNG, DOCX.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'Upload' — the file is securely stored in Firebase Storage and linked to your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Uploaded documents appear in the Document Vault with category tags and timestamps.</w:t>
      </w:r>
    </w:p>
    <w:p>
      <w:pPr>
        <w:pStyle w:val="Heading2"/>
        <w:spacing w:after="120" w:before="300"/>
      </w:pPr>
      <w:r>
        <w:t xml:space="preserve">Messaging — Real SMS via BulkSMS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Messaging page now sends real SMS messages through the BulkSMS.co.za API.</w:t>
      </w:r>
    </w:p>
    <w:p>
      <w:pPr>
        <w:pStyle w:val="Heading3"/>
        <w:spacing w:after="120" w:before="300"/>
      </w:pPr>
      <w:r>
        <w:t xml:space="preserve">How to Send an SMS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Messaging from the sidebar (under Pipeline).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'Compose Message' to open the compose sheet.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Select a recipient or enter a mobile number (South African format: +27...).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Type your message and click 'Send'.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The message is sent via the BulkSMS API. Delivery status updates automatically.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All sent messages are saved in the SMS history with delivery status indicators.</w:t>
      </w:r>
    </w:p>
    <w:p>
      <w:pPr>
        <w:pStyle w:val="Heading2"/>
        <w:spacing w:after="120" w:before="300"/>
      </w:pPr>
      <w:r>
        <w:t xml:space="preserve">Inbound Lead Webhook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Leads from property portals like Property24 and Private Property can now be injected automatically via a secure webhook endpoint. Contact your system administrator to configure the webhook URL and HMAC secret for your portal account.</w:t>
      </w:r>
    </w:p>
    <w:p>
      <w:pPr>
        <w:pStyle w:val="Heading2"/>
        <w:spacing w:after="120" w:before="300"/>
      </w:pPr>
      <w:r>
        <w:t xml:space="preserve">Pipeline Card Navigation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You can now click on any card on the Pipeline Board or Transaction Pipeline to navigate directly to the lead or transaction detail page. Previously, cards were display-only.</w:t>
      </w:r>
    </w:p>
    <w:p>
      <w:pPr>
        <w:pStyle w:val="Heading1"/>
        <w:spacing w:after="120" w:before="300"/>
      </w:pPr>
      <w:r>
        <w:t xml:space="preserve">v1.1.0 — New Feature Training</w:t>
      </w:r>
    </w:p>
    <w:p>
      <w:pPr>
        <w:pStyle w:val="Heading2"/>
        <w:spacing w:after="120" w:before="300"/>
      </w:pPr>
      <w:r>
        <w:t xml:space="preserve">Gemini AI CMA Research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now uses Google Gemini AI to generate Comparative Market Analysis reports with live market data.</w:t>
      </w:r>
    </w:p>
    <w:p>
      <w:pPr>
        <w:pStyle w:val="Heading3"/>
        <w:spacing w:after="120" w:before="300"/>
      </w:pPr>
      <w:r>
        <w:t xml:space="preserve">How to Generate a CMA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CMA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Enter the property address you want to analyse.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'Generate CMA' — the AI researches comparable sales, neighbourhood data, and market trends.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Review the generated report with neighbourhood insights, comparable sales table, and pricing recommendation.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Download the CMA as a PDF to share with clients.</w:t>
      </w:r>
    </w:p>
    <w:p>
      <w:pPr>
        <w:pStyle w:val="Heading2"/>
        <w:spacing w:after="120" w:before="300"/>
      </w:pPr>
      <w:r>
        <w:t xml:space="preserve">Buyer-Match Engine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Buyer Match page algorithmically pairs buyer requirements with available property listings.</w:t>
      </w:r>
    </w:p>
    <w:p>
      <w:pPr>
        <w:pStyle w:val="Heading3"/>
        <w:spacing w:after="120" w:before="300"/>
      </w:pPr>
      <w:r>
        <w:t xml:space="preserve">How to Use Buyer Match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Buyer Match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The system automatically scores all buyers against all active listings.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Match scores are computed across price range, location, bedrooms, property type, and amenities.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Click any match to view the detailed breakdown and contact the buyer.</w:t>
      </w:r>
    </w:p>
    <w:p>
      <w:pPr>
        <w:pStyle w:val="Heading2"/>
        <w:spacing w:after="120" w:before="300"/>
      </w:pPr>
      <w:r>
        <w:t xml:space="preserve">Compliance Dashboard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Compliance page provides a centralised view of FICA and regulatory status across all transactions.</w:t>
      </w:r>
    </w:p>
    <w:p>
      <w:pPr>
        <w:pStyle w:val="Heading3"/>
        <w:spacing w:after="120" w:before="300"/>
      </w:pPr>
      <w:r>
        <w:t xml:space="preserve">How to Use Compliance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Compliance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Review FICA document expiry dates and missing mandatory documents.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Check regulatory checklist status for each active transaction.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Address any flagged items before they become compliance issues.</w:t>
      </w:r>
    </w:p>
    <w:p>
      <w:pPr>
        <w:pStyle w:val="Heading2"/>
        <w:spacing w:after="120" w:before="300"/>
      </w:pPr>
      <w:r>
        <w:t xml:space="preserve">Lead ROI Analytics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Lead ROI page shows return on investment metrics for each lead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Lead ROI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View cost-per-lead, conversion rates, and revenue attribution per source.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Compare ROI across Portal, Referral, Walk-in, Digital Ad, Show Day, and Social channels.</w:t>
      </w:r>
    </w:p>
    <w:p>
      <w:pPr>
        <w:pStyle w:val="Heading2"/>
        <w:spacing w:after="120" w:before="300"/>
      </w:pPr>
      <w:r>
        <w:t xml:space="preserve">Speed-to-Lead Metrics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Speed to Lead page measures how quickly agents respond to new leads.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Navigate to Speed to Lead from the sidebar.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View average response times and distribution charts.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Monitor SLA threshold alerts for leads awaiting first contact.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v1.1.0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User 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User Training Guide</dc:title>
  <dc:creator>Thina CRM Team</dc:creator>
  <dc:description>User Training Guide — Thina CRM Documentation</dc:description>
  <cp:lastModifiedBy>Un-named</cp:lastModifiedBy>
  <cp:revision>1</cp:revision>
  <dcterms:created xsi:type="dcterms:W3CDTF">2026-04-20T17:33:29.225Z</dcterms:created>
  <dcterms:modified xsi:type="dcterms:W3CDTF">2026-04-20T17:33:29.225Z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