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E8FA3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</w:tcPr>
          <w:p>
            <w:pPr>
              <w:jc w:val="center"/>
              <w:spacing w:before="720" w:after="120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Ação de Marketing CS</w:t>
            </w:r>
          </w:p>
          <w:p>
            <w:pPr>
              <w:jc w:val="center"/>
              <w:spacing w:before="0" w:after="120"/>
            </w:pPr>
            <w:r>
              <w:rPr>
                <w:rFonts w:ascii="Calibri" w:hAnsi="Calibri"/>
                <w:b w:val="0"/>
                <w:i w:val="0"/>
                <w:color w:val="FFFFFF"/>
                <w:sz w:val="32"/>
              </w:rPr>
              <w:t>Julho a Dezembro de 2026</w:t>
            </w:r>
          </w:p>
          <w:p>
            <w:pPr>
              <w:jc w:val="center"/>
              <w:spacing w:before="80" w:after="720"/>
            </w:pPr>
            <w:r>
              <w:rPr>
                <w:rFonts w:ascii="Calibri" w:hAnsi="Calibri"/>
                <w:b w:val="0"/>
                <w:i w:val="0"/>
                <w:color w:val="B2E2EA"/>
                <w:sz w:val="20"/>
              </w:rPr>
              <w:t>Gabriel Vital  |  Customer Success Specialist  |  Efcaz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E8FA3"/>
          <w:sz w:val="28"/>
        </w:rPr>
        <w:t>1.  Contexto da Campanha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F4F9FA"/>
            <w:tcBorders>
              <w:left w:val="single" w:sz="18" w:color="0E8FA3"/>
            </w:tcBorders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i w:val="0"/>
                <w:color w:val="152830"/>
                <w:sz w:val="20"/>
              </w:rPr>
              <w:t xml:space="preserve">Esta não é uma campanha pontual de marketing. </w:t>
            </w: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>É uma ação contínua de CS — comunicação periódica que traduz novidades da plataforma em impacto real para o cliente. Gabriel é a ponte entre a Efcaz e o cliente: não a empresa vendendo, mas o CS ajudando a usar melhor.</w:t>
            </w:r>
          </w:p>
          <w:p>
            <w:pPr>
              <w:spacing w:before="80" w:after="160"/>
            </w:pPr>
            <w:r>
              <w:rPr>
                <w:rFonts w:ascii="Calibri" w:hAnsi="Calibri"/>
                <w:b/>
                <w:i w:val="0"/>
                <w:color w:val="152830"/>
                <w:sz w:val="20"/>
              </w:rPr>
              <w:t xml:space="preserve">Ferramenta: </w:t>
            </w: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 xml:space="preserve">RD Station  |  </w:t>
            </w:r>
            <w:r>
              <w:rPr>
                <w:rFonts w:ascii="Calibri" w:hAnsi="Calibri"/>
                <w:b/>
                <w:i w:val="0"/>
                <w:color w:val="152830"/>
                <w:sz w:val="20"/>
              </w:rPr>
              <w:t xml:space="preserve">Cadência: </w:t>
            </w: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 xml:space="preserve">~2× por mês  |  </w:t>
            </w:r>
            <w:r>
              <w:rPr>
                <w:rFonts w:ascii="Calibri" w:hAnsi="Calibri"/>
                <w:b/>
                <w:i w:val="0"/>
                <w:color w:val="152830"/>
                <w:sz w:val="20"/>
              </w:rPr>
              <w:t xml:space="preserve">Origem: </w:t>
            </w: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>Reunião de 17/07/2026 (Gabriel, Renato, Ricardo, Alison)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0E8FA3"/>
          <w:sz w:val="28"/>
        </w:rPr>
        <w:t>2.  Objetivos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05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i w:val="0"/>
                <w:color w:val="0E8FA3"/>
                <w:sz w:val="20"/>
              </w:rPr>
              <w:t>Engajamento da base</w:t>
            </w:r>
          </w:p>
          <w:p>
            <w:pPr>
              <w:spacing w:before="40" w:after="20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Reativar contatos frios, medir abertura e atualizar base de e-mails.</w:t>
            </w:r>
          </w:p>
        </w:tc>
        <w:tc>
          <w:tcPr>
            <w:tcW w:type="dxa" w:w="3005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FFF7E0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i w:val="0"/>
                <w:color w:val="D98C00"/>
                <w:sz w:val="20"/>
              </w:rPr>
              <w:t>Adoção de módulos</w:t>
            </w:r>
          </w:p>
          <w:p>
            <w:pPr>
              <w:spacing w:before="40" w:after="20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Aproximar clientes de funcionalidades contratadas mas subutilizadas.</w:t>
            </w:r>
          </w:p>
        </w:tc>
        <w:tc>
          <w:tcPr>
            <w:tcW w:type="dxa" w:w="3005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6F7F0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i w:val="0"/>
                <w:color w:val="1A9E6A"/>
                <w:sz w:val="20"/>
              </w:rPr>
              <w:t>Expansão e renovação</w:t>
            </w:r>
          </w:p>
          <w:p>
            <w:pPr>
              <w:spacing w:before="40" w:after="20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Abrir conversa de expansão antes do momento de renovação, sem pressão.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0E8FA3"/>
          <w:sz w:val="28"/>
        </w:rPr>
        <w:t>3.  Premissas da Campanha</w:t>
      </w:r>
    </w:p>
    <w:p>
      <w:pPr>
        <w:pStyle w:val="ListBullet"/>
        <w:spacing w:before="60" w:after="60"/>
      </w:pPr>
      <w:r>
        <w:rPr>
          <w:rFonts w:ascii="Calibri" w:hAnsi="Calibri"/>
          <w:b/>
          <w:i w:val="0"/>
          <w:color w:val="0A7488"/>
          <w:sz w:val="20"/>
        </w:rPr>
        <w:t xml:space="preserve">Benefício primeiro: </w:t>
      </w:r>
      <w:r>
        <w:rPr>
          <w:rFonts w:ascii="Calibri" w:hAnsi="Calibri"/>
          <w:b w:val="0"/>
          <w:i w:val="0"/>
          <w:color w:val="456068"/>
          <w:sz w:val="20"/>
        </w:rPr>
        <w:t>Traduzir novidades em impacto real — não comunicar funcionalidade técnica, mas o que ela muda na operação do cliente.</w:t>
      </w:r>
    </w:p>
    <w:p>
      <w:pPr>
        <w:pStyle w:val="ListBullet"/>
        <w:spacing w:before="60" w:after="60"/>
      </w:pPr>
      <w:r>
        <w:rPr>
          <w:rFonts w:ascii="Calibri" w:hAnsi="Calibri"/>
          <w:b/>
          <w:i w:val="0"/>
          <w:color w:val="0A7488"/>
          <w:sz w:val="20"/>
        </w:rPr>
        <w:t xml:space="preserve">Gabriel como ponte: </w:t>
      </w:r>
      <w:r>
        <w:rPr>
          <w:rFonts w:ascii="Calibri" w:hAnsi="Calibri"/>
          <w:b w:val="0"/>
          <w:i w:val="0"/>
          <w:color w:val="456068"/>
          <w:sz w:val="20"/>
        </w:rPr>
        <w:t>Comunicação parte do CS, não da empresa. Cria proximidade e reduz percepção de e-mail comercial.</w:t>
      </w:r>
    </w:p>
    <w:p>
      <w:pPr>
        <w:pStyle w:val="ListBullet"/>
        <w:spacing w:before="60" w:after="60"/>
      </w:pPr>
      <w:r>
        <w:rPr>
          <w:rFonts w:ascii="Calibri" w:hAnsi="Calibri"/>
          <w:b/>
          <w:i w:val="0"/>
          <w:color w:val="0A7488"/>
          <w:sz w:val="20"/>
        </w:rPr>
        <w:t xml:space="preserve">Fase 1 geral, Fase 2 segmentada: </w:t>
      </w:r>
      <w:r>
        <w:rPr>
          <w:rFonts w:ascii="Calibri" w:hAnsi="Calibri"/>
          <w:b w:val="0"/>
          <w:i w:val="0"/>
          <w:color w:val="456068"/>
          <w:sz w:val="20"/>
        </w:rPr>
        <w:t>E-mails 1 e 2 para toda a base. A partir do e-mail 3, segmentação por perfil de uso da plataforma.</w:t>
      </w:r>
    </w:p>
    <w:p>
      <w:pPr>
        <w:pStyle w:val="ListBullet"/>
        <w:spacing w:before="60" w:after="60"/>
      </w:pPr>
      <w:r>
        <w:rPr>
          <w:rFonts w:ascii="Calibri" w:hAnsi="Calibri"/>
          <w:b/>
          <w:i w:val="0"/>
          <w:color w:val="0A7488"/>
          <w:sz w:val="20"/>
        </w:rPr>
        <w:t xml:space="preserve">CTA de baixo atrito: </w:t>
      </w:r>
      <w:r>
        <w:rPr>
          <w:rFonts w:ascii="Calibri" w:hAnsi="Calibri"/>
          <w:b w:val="0"/>
          <w:i w:val="0"/>
          <w:color w:val="456068"/>
          <w:sz w:val="20"/>
        </w:rPr>
        <w:t>Agenda aberta do Gabriel como principal chamada para ação — fácil de clicar, sem comprometimento.</w:t>
      </w:r>
    </w:p>
    <w:p>
      <w:pPr>
        <w:pStyle w:val="ListBullet"/>
        <w:spacing w:before="60" w:after="60"/>
      </w:pPr>
      <w:r>
        <w:rPr>
          <w:rFonts w:ascii="Calibri" w:hAnsi="Calibri"/>
          <w:b/>
          <w:i w:val="0"/>
          <w:color w:val="0A7488"/>
          <w:sz w:val="20"/>
        </w:rPr>
        <w:t xml:space="preserve">Volume controlado: </w:t>
      </w:r>
      <w:r>
        <w:rPr>
          <w:rFonts w:ascii="Calibri" w:hAnsi="Calibri"/>
          <w:b w:val="0"/>
          <w:i w:val="0"/>
          <w:color w:val="456068"/>
          <w:sz w:val="20"/>
        </w:rPr>
        <w:t>Calendário com slots abertos em periodicidade maior para evitar avalanche de agendamentos simultâneos.</w:t>
      </w:r>
    </w:p>
    <w:p>
      <w:pPr>
        <w:pStyle w:val="ListBullet"/>
        <w:spacing w:before="60" w:after="60"/>
      </w:pPr>
      <w:r>
        <w:rPr>
          <w:rFonts w:ascii="Calibri" w:hAnsi="Calibri"/>
          <w:b/>
          <w:i w:val="0"/>
          <w:color w:val="0A7488"/>
          <w:sz w:val="20"/>
        </w:rPr>
        <w:t xml:space="preserve">Integração com CS: </w:t>
      </w:r>
      <w:r>
        <w:rPr>
          <w:rFonts w:ascii="Calibri" w:hAnsi="Calibri"/>
          <w:b w:val="0"/>
          <w:i w:val="0"/>
          <w:color w:val="456068"/>
          <w:sz w:val="20"/>
        </w:rPr>
        <w:t>Dados de abertura de e-mail viram gatilhos para WhatsApp, calls e identificação de oportunidades de expansão.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0E8FA3"/>
          <w:sz w:val="28"/>
        </w:rPr>
        <w:t>4.  Cronograma Jul–Dez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97"/>
            <w:shd w:val="clear" w:color="auto" w:fill="0E8FA3"/>
            <w:tcBorders>
              <w:top w:val="none" w:sz="4" w:color="000000"/>
              <w:bottom w:val="none" w:sz="4" w:color="000000"/>
              <w:left w:val="single" w:sz="4" w:color="FFFFFF"/>
              <w:right w:val="single" w:sz="4" w:color="FFFFFF"/>
            </w:tcBorders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361"/>
            <w:shd w:val="clear" w:color="auto" w:fill="0E8FA3"/>
            <w:tcBorders>
              <w:top w:val="none" w:sz="4" w:color="000000"/>
              <w:bottom w:val="none" w:sz="4" w:color="000000"/>
              <w:left w:val="single" w:sz="4" w:color="FFFFFF"/>
              <w:right w:val="single" w:sz="4" w:color="FFFFFF"/>
            </w:tcBorders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Período</w:t>
            </w:r>
          </w:p>
        </w:tc>
        <w:tc>
          <w:tcPr>
            <w:tcW w:type="dxa" w:w="1701"/>
            <w:shd w:val="clear" w:color="auto" w:fill="0E8FA3"/>
            <w:tcBorders>
              <w:top w:val="none" w:sz="4" w:color="000000"/>
              <w:bottom w:val="none" w:sz="4" w:color="000000"/>
              <w:left w:val="single" w:sz="4" w:color="FFFFFF"/>
              <w:right w:val="single" w:sz="4" w:color="FFFFFF"/>
            </w:tcBorders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2381"/>
            <w:shd w:val="clear" w:color="auto" w:fill="0E8FA3"/>
            <w:tcBorders>
              <w:top w:val="none" w:sz="4" w:color="000000"/>
              <w:bottom w:val="none" w:sz="4" w:color="000000"/>
              <w:left w:val="single" w:sz="4" w:color="FFFFFF"/>
              <w:right w:val="single" w:sz="4" w:color="FFFFFF"/>
            </w:tcBorders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Hook (pergunta-âncora)</w:t>
            </w:r>
          </w:p>
        </w:tc>
        <w:tc>
          <w:tcPr>
            <w:tcW w:type="dxa" w:w="1984"/>
            <w:shd w:val="clear" w:color="auto" w:fill="0E8FA3"/>
            <w:tcBorders>
              <w:top w:val="none" w:sz="4" w:color="000000"/>
              <w:bottom w:val="none" w:sz="4" w:color="000000"/>
              <w:left w:val="single" w:sz="4" w:color="FFFFFF"/>
              <w:right w:val="single" w:sz="4" w:color="FFFFFF"/>
            </w:tcBorders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Segmento</w:t>
            </w:r>
          </w:p>
        </w:tc>
        <w:tc>
          <w:tcPr>
            <w:tcW w:type="dxa" w:w="2381"/>
            <w:shd w:val="clear" w:color="auto" w:fill="0E8FA3"/>
            <w:tcBorders>
              <w:top w:val="none" w:sz="4" w:color="000000"/>
              <w:bottom w:val="none" w:sz="4" w:color="000000"/>
              <w:left w:val="single" w:sz="4" w:color="FFFFFF"/>
              <w:right w:val="single" w:sz="4" w:color="FFFFFF"/>
            </w:tcBorders>
          </w:tcPr>
          <w:p>
            <w:pPr>
              <w:jc w:val="left"/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397"/>
            <w:shd w:val="clear" w:color="auto" w:fill="0E8FA3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36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Jul / agora</w:t>
            </w:r>
          </w:p>
        </w:tc>
        <w:tc>
          <w:tcPr>
            <w:tcW w:type="dxa" w:w="170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Módulo de Contratos</w:t>
            </w:r>
          </w:p>
        </w:tc>
        <w:tc>
          <w:tcPr>
            <w:tcW w:type="dxa" w:w="238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"Onde ficam os contratos dos seus fornecedores hoje?"</w:t>
            </w:r>
          </w:p>
        </w:tc>
        <w:tc>
          <w:tcPr>
            <w:tcW w:type="dxa" w:w="1984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Geral — toda a base</w:t>
            </w:r>
          </w:p>
        </w:tc>
        <w:tc>
          <w:tcPr>
            <w:tcW w:type="dxa" w:w="238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Validar abertura, mapear contatos, medir engajamento</w:t>
            </w:r>
          </w:p>
        </w:tc>
      </w:tr>
      <w:tr>
        <w:tc>
          <w:tcPr>
            <w:tcW w:type="dxa" w:w="397"/>
            <w:shd w:val="clear" w:color="auto" w:fill="0E8FA3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136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Ago / 1ª quinz.</w:t>
            </w:r>
          </w:p>
        </w:tc>
        <w:tc>
          <w:tcPr>
            <w:tcW w:type="dxa" w:w="170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Background Check / Compliance</w:t>
            </w:r>
          </w:p>
        </w:tc>
        <w:tc>
          <w:tcPr>
            <w:tcW w:type="dxa" w:w="238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"Você sabe se seus fornecedores estão regulares hoje?"</w:t>
            </w:r>
          </w:p>
        </w:tc>
        <w:tc>
          <w:tcPr>
            <w:tcW w:type="dxa" w:w="1984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Geral (2ª rodada)</w:t>
            </w:r>
          </w:p>
        </w:tc>
        <w:tc>
          <w:tcPr>
            <w:tcW w:type="dxa" w:w="2381"/>
            <w:shd w:val="clear" w:color="auto" w:fill="E4F4F7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Identificar interesse em compliance, mapear quem abre 2×</w:t>
            </w:r>
          </w:p>
        </w:tc>
      </w:tr>
      <w:tr>
        <w:tc>
          <w:tcPr>
            <w:tcW w:type="dxa" w:w="397"/>
            <w:shd w:val="clear" w:color="auto" w:fill="D98C0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136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Ago / 2ª quinz.</w:t>
            </w:r>
          </w:p>
        </w:tc>
        <w:tc>
          <w:tcPr>
            <w:tcW w:type="dxa" w:w="170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Segmentação — 2 versões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A: Terceiros  |  B: RFI</w:t>
            </w:r>
          </w:p>
        </w:tc>
        <w:tc>
          <w:tcPr>
            <w:tcW w:type="dxa" w:w="1984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A: só homologação  |  B: com Terceiros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Primeira comunicação segmentada por perfil de uso</w:t>
            </w:r>
          </w:p>
        </w:tc>
      </w:tr>
      <w:tr>
        <w:tc>
          <w:tcPr>
            <w:tcW w:type="dxa" w:w="397"/>
            <w:shd w:val="clear" w:color="auto" w:fill="D98C0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136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Set / 1ª quinz.</w:t>
            </w:r>
          </w:p>
        </w:tc>
        <w:tc>
          <w:tcPr>
            <w:tcW w:type="dxa" w:w="170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Avaliação de Performance (RFI)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"Como você documenta quando um fornecedor entrega mal?"</w:t>
            </w:r>
          </w:p>
        </w:tc>
        <w:tc>
          <w:tcPr>
            <w:tcW w:type="dxa" w:w="1984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Clientes sem RFI ativo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Abrir conversa de expansão de módulo</w:t>
            </w:r>
          </w:p>
        </w:tc>
      </w:tr>
      <w:tr>
        <w:tc>
          <w:tcPr>
            <w:tcW w:type="dxa" w:w="397"/>
            <w:shd w:val="clear" w:color="auto" w:fill="1A9E6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136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Set / 2ª quinz.</w:t>
            </w:r>
          </w:p>
        </w:tc>
        <w:tc>
          <w:tcPr>
            <w:tcW w:type="dxa" w:w="170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Webinar — Novidades da plataforma</w:t>
            </w:r>
          </w:p>
        </w:tc>
        <w:tc>
          <w:tcPr>
            <w:tcW w:type="dxa" w:w="238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Convite para toda a base | gravação disponível</w:t>
            </w:r>
          </w:p>
        </w:tc>
        <w:tc>
          <w:tcPr>
            <w:tcW w:type="dxa" w:w="1984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Toda a base</w:t>
            </w:r>
          </w:p>
        </w:tc>
        <w:tc>
          <w:tcPr>
            <w:tcW w:type="dxa" w:w="238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Reativar frios, gerar cases, insumo ao comercial</w:t>
            </w:r>
          </w:p>
        </w:tc>
      </w:tr>
      <w:tr>
        <w:tc>
          <w:tcPr>
            <w:tcW w:type="dxa" w:w="397"/>
            <w:shd w:val="clear" w:color="auto" w:fill="D98C0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136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Out / 1ª quinz.</w:t>
            </w:r>
          </w:p>
        </w:tc>
        <w:tc>
          <w:tcPr>
            <w:tcW w:type="dxa" w:w="170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Dossiê + Score de Confiabilidade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"Você já usou o dossiê para tomar uma decisão?"</w:t>
            </w:r>
          </w:p>
        </w:tc>
        <w:tc>
          <w:tcPr>
            <w:tcW w:type="dxa" w:w="1984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Clientes com baixo uso do dossiê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Engajar recurso subutilizado, abrir conversa de valor</w:t>
            </w:r>
          </w:p>
        </w:tc>
      </w:tr>
      <w:tr>
        <w:tc>
          <w:tcPr>
            <w:tcW w:type="dxa" w:w="397"/>
            <w:shd w:val="clear" w:color="auto" w:fill="D98C0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136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Out / 2ª quinz.</w:t>
            </w:r>
          </w:p>
        </w:tc>
        <w:tc>
          <w:tcPr>
            <w:tcW w:type="dxa" w:w="170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Gestão de Terceiros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"Quantos colaboradores estão ativos e regularizados hoje?"</w:t>
            </w:r>
          </w:p>
        </w:tc>
        <w:tc>
          <w:tcPr>
            <w:tcW w:type="dxa" w:w="1984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Clientes com Terceiros ativo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Reforçar adoção, identificar gaps de regularização</w:t>
            </w:r>
          </w:p>
        </w:tc>
      </w:tr>
      <w:tr>
        <w:tc>
          <w:tcPr>
            <w:tcW w:type="dxa" w:w="397"/>
            <w:shd w:val="clear" w:color="auto" w:fill="D98C0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136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Nov / 1ª quinz.</w:t>
            </w:r>
          </w:p>
        </w:tc>
        <w:tc>
          <w:tcPr>
            <w:tcW w:type="dxa" w:w="170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Ocorrências + Planos de Ação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"Quando algo dá errado com um fornecedor, como você registra?"</w:t>
            </w:r>
          </w:p>
        </w:tc>
        <w:tc>
          <w:tcPr>
            <w:tcW w:type="dxa" w:w="1984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Clientes sem Ocorrências</w:t>
            </w:r>
          </w:p>
        </w:tc>
        <w:tc>
          <w:tcPr>
            <w:tcW w:type="dxa" w:w="2381"/>
            <w:shd w:val="clear" w:color="auto" w:fill="FFF7E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Ampliar uso além da homologação</w:t>
            </w:r>
          </w:p>
        </w:tc>
      </w:tr>
      <w:tr>
        <w:tc>
          <w:tcPr>
            <w:tcW w:type="dxa" w:w="397"/>
            <w:shd w:val="clear" w:color="auto" w:fill="1A9E6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136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Nov / 2ª quinz.</w:t>
            </w:r>
          </w:p>
        </w:tc>
        <w:tc>
          <w:tcPr>
            <w:tcW w:type="dxa" w:w="170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Relatórios Gerenciais</w:t>
            </w:r>
          </w:p>
        </w:tc>
        <w:tc>
          <w:tcPr>
            <w:tcW w:type="dxa" w:w="238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"Seu gestor consegue ver a saúde da base em 5 minutos?"</w:t>
            </w:r>
          </w:p>
        </w:tc>
        <w:tc>
          <w:tcPr>
            <w:tcW w:type="dxa" w:w="1984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Decisores / gestores</w:t>
            </w:r>
          </w:p>
        </w:tc>
        <w:tc>
          <w:tcPr>
            <w:tcW w:type="dxa" w:w="238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Criar visibilidade com liderança, preparar renovações</w:t>
            </w:r>
          </w:p>
        </w:tc>
      </w:tr>
      <w:tr>
        <w:tc>
          <w:tcPr>
            <w:tcW w:type="dxa" w:w="397"/>
            <w:shd w:val="clear" w:color="auto" w:fill="1A9E6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</w:t>
            </w:r>
          </w:p>
        </w:tc>
        <w:tc>
          <w:tcPr>
            <w:tcW w:type="dxa" w:w="136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52830"/>
                <w:sz w:val="18"/>
              </w:rPr>
              <w:t>Dezembro</w:t>
            </w:r>
          </w:p>
        </w:tc>
        <w:tc>
          <w:tcPr>
            <w:tcW w:type="dxa" w:w="170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Balanço 2026 + Olhar 2027</w:t>
            </w:r>
          </w:p>
        </w:tc>
        <w:tc>
          <w:tcPr>
            <w:tcW w:type="dxa" w:w="238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"O que sua empresa conquistou na gestão de fornecedores?"</w:t>
            </w:r>
          </w:p>
        </w:tc>
        <w:tc>
          <w:tcPr>
            <w:tcW w:type="dxa" w:w="1984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Toda a base</w:t>
            </w:r>
          </w:p>
        </w:tc>
        <w:tc>
          <w:tcPr>
            <w:tcW w:type="dxa" w:w="2381"/>
            <w:shd w:val="clear" w:color="auto" w:fill="E6F7F0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Relacionamento, retenção, NPS, abertura de renovações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0E8FA3"/>
          <w:sz w:val="28"/>
        </w:rPr>
        <w:t>5.  Fases de Segmentação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</w:tcPr>
          <w:p>
            <w:pPr>
              <w:spacing w:before="2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F1</w:t>
            </w:r>
          </w:p>
        </w:tc>
        <w:tc>
          <w:tcPr>
            <w:tcW w:type="dxa" w:w="901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A7488"/>
                <w:sz w:val="20"/>
              </w:rPr>
              <w:t>Fase 1 — Geral (E-mails 1 e 2)</w:t>
            </w:r>
          </w:p>
          <w:p>
            <w:pPr>
              <w:spacing w:before="60" w:after="16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E-mails 1 e 2 disparados para toda a base de clientes.</w:t>
              <w:br/>
              <w:t>Objetivo: validar contatos ativos, medir abertura e identificar bounces.</w:t>
              <w:br/>
              <w:t>Meta: taxa de abertura &gt;25%  |  bounce &lt;5%.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</w:tcPr>
          <w:p>
            <w:pPr>
              <w:spacing w:before="2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F2</w:t>
            </w:r>
          </w:p>
        </w:tc>
        <w:tc>
          <w:tcPr>
            <w:tcW w:type="dxa" w:w="901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A7488"/>
                <w:sz w:val="20"/>
              </w:rPr>
              <w:t>Fase 2 — Segmentado por uso (E-mail 3 em diante)</w:t>
            </w:r>
          </w:p>
          <w:p>
            <w:pPr>
              <w:spacing w:before="60" w:after="16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Perfil A: cliente usa só homologação, sem Terceiros contratado</w:t>
              <w:br/>
              <w:t>Perfil B: cliente usa homologação + Terceiros</w:t>
              <w:br/>
              <w:t>Perfil C: cliente usa homologação + Terceiros + RFI</w:t>
              <w:br/>
              <w:t>Decisores sem acesso à plataforma: segmento exclusivo para visibilidade gerencial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</w:tcPr>
          <w:p>
            <w:pPr>
              <w:spacing w:before="2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F3</w:t>
            </w:r>
          </w:p>
        </w:tc>
        <w:tc>
          <w:tcPr>
            <w:tcW w:type="dxa" w:w="901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A7488"/>
                <w:sz w:val="20"/>
              </w:rPr>
              <w:t>Fase 3 — Por comportamento (Nov/Dez)</w:t>
            </w:r>
          </w:p>
          <w:p>
            <w:pPr>
              <w:spacing w:before="60" w:after="160"/>
            </w:pP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t>Abriu 3+ e-mails: cliente engajado — prioridade para conversa de expansão</w:t>
              <w:br/>
              <w:t>Abriu mas nunca agendou: acionar via WhatsApp ou ligação</w:t>
              <w:br/>
              <w:t>Nunca abriu: verificar contato, tentar outro canal (WhatsApp, call direta)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0E8FA3"/>
          <w:sz w:val="28"/>
        </w:rPr>
        <w:t>6.  E-mail 1 — Módulo de Contratos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Disparo:</w:t>
            </w:r>
          </w:p>
        </w:tc>
        <w:tc>
          <w:tcPr>
            <w:tcW w:type="dxa" w:w="2381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Geral — toda a base</w:t>
            </w:r>
          </w:p>
        </w:tc>
        <w:tc>
          <w:tcPr>
            <w:tcW w:type="dxa" w:w="1417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Previsto:</w:t>
            </w:r>
          </w:p>
        </w:tc>
        <w:tc>
          <w:tcPr>
            <w:tcW w:type="dxa" w:w="4535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52830"/>
                <w:sz w:val="18"/>
              </w:rPr>
              <w:t>Semana de 21/07/2026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i w:val="0"/>
          <w:color w:val="0A7488"/>
          <w:sz w:val="20"/>
        </w:rPr>
        <w:t xml:space="preserve">Assunto: </w:t>
      </w:r>
      <w:r>
        <w:rPr>
          <w:rFonts w:ascii="Calibri" w:hAnsi="Calibri"/>
          <w:b w:val="0"/>
          <w:i w:val="0"/>
          <w:color w:val="152830"/>
          <w:sz w:val="20"/>
        </w:rPr>
        <w:t>Uma novidade que pode mudar como você controla contratos de fornecedores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F4F9FA"/>
            <w:tcBorders>
              <w:left w:val="single" w:sz="18" w:color="0E8FA3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Olá, [Nome],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Meu nome é Gabriel, e sou o responsável pela sua conta aqui na Efcaz.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A partir de agora, além do suporte que você já tem, vou te enviar comunicações periódicas com uma perspectiva diferente das news de produto: o que as novidades da plataforma mudam na prática da sua operação.</w:t>
            </w:r>
          </w:p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E8FA3"/>
                <w:sz w:val="20"/>
              </w:rPr>
              <w:t>A estreia: Módulo de Contratos</w:t>
            </w:r>
          </w:p>
          <w:p>
            <w:pPr>
              <w:spacing w:before="80" w:after="4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Uma pergunta rápida: onde ficam os contratos dos seus fornecedores hoje?</w:t>
            </w:r>
          </w:p>
          <w:p>
            <w:pPr>
              <w:spacing w:before="80" w:after="4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Para muitas empresas, a resposta é e-mail, pasta compartilhada ou planilha. Funciona — até o dia em que um contrato vence sem que ninguém perceba, ou quando você precisa encontrar uma vigência específica às pressas.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Acabamos de liberar o Módulo de Contratos na plataforma. Com ele, você centraliza em um só lugar: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>Vigências, aditivos e valores contratuais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>Documentos obrigatórios vinculados ao contrato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56068"/>
                <w:sz w:val="20"/>
              </w:rPr>
              <w:t>Visibilidade antecipada de vencimentos</w:t>
            </w:r>
          </w:p>
          <w:p>
            <w:pPr>
              <w:spacing w:before="80" w:after="6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Tudo no mesmo ambiente onde você já gerencia seus fornecedores.</w:t>
            </w:r>
          </w:p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E8FA3"/>
                <w:sz w:val="20"/>
              </w:rPr>
              <w:t>Isso faz sentido para a sua operação?</w:t>
            </w:r>
          </w:p>
          <w:p>
            <w:pPr>
              <w:spacing w:before="80" w:after="6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Cada empresa trabalha de um jeito — por isso, antes de qualquer coisa, queria entender se vale a pena te mostrar como isso ficaria configurado no ambiente de vocês.</w:t>
            </w:r>
          </w:p>
          <w:p>
            <w:pPr>
              <w:spacing w:before="80" w:after="6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Se quiser, reserva 20 minutos aqui: [link da agenda]</w:t>
            </w:r>
          </w:p>
          <w:p>
            <w:pPr>
              <w:spacing w:before="80" w:after="6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Ou responde esse e-mail que eu te retorno.</w:t>
            </w:r>
          </w:p>
          <w:p>
            <w:pPr>
              <w:spacing w:before="160" w:after="20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Um abraço,</w:t>
              <w:br/>
            </w:r>
            <w:r>
              <w:rPr>
                <w:rFonts w:ascii="Calibri" w:hAnsi="Calibri"/>
                <w:b/>
                <w:i w:val="0"/>
                <w:color w:val="0A7488"/>
                <w:sz w:val="20"/>
              </w:rPr>
              <w:t>Gabriel Vital</w:t>
            </w:r>
            <w:r>
              <w:rPr>
                <w:rFonts w:ascii="Calibri" w:hAnsi="Calibri"/>
                <w:b w:val="0"/>
                <w:i w:val="0"/>
                <w:color w:val="456068"/>
                <w:sz w:val="18"/>
              </w:rPr>
              <w:br/>
              <w:t>Customer Success | Efcaz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0E8FA3"/>
          <w:sz w:val="28"/>
        </w:rPr>
        <w:t>7.  Próximos Passos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  <w:tcBorders>
              <w:top w:val="single" w:sz="4" w:color="FFFFFF"/>
              <w:bottom w:val="single" w:sz="4" w:color="FFFFFF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22/07 (quarta)</w:t>
            </w:r>
          </w:p>
        </w:tc>
        <w:tc>
          <w:tcPr>
            <w:tcW w:type="dxa" w:w="765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  <w:tcBorders>
              <w:top w:val="single" w:sz="4" w:color="D0E8ED"/>
              <w:bottom w:val="single" w:sz="4" w:color="D0E8ED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Compartilhar pasta com Renato, Ricardo e Alison</w:t>
            </w:r>
          </w:p>
        </w:tc>
      </w:tr>
      <w:tr>
        <w:tc>
          <w:tcPr>
            <w:tcW w:type="dxa" w:w="2551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A7488"/>
            <w:tcBorders>
              <w:top w:val="single" w:sz="4" w:color="FFFFFF"/>
              <w:bottom w:val="single" w:sz="4" w:color="FFFFFF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23–24/07 (qui/sex)</w:t>
            </w:r>
          </w:p>
        </w:tc>
        <w:tc>
          <w:tcPr>
            <w:tcW w:type="dxa" w:w="765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FFFFFF"/>
            <w:tcBorders>
              <w:top w:val="single" w:sz="4" w:color="D0E8ED"/>
              <w:bottom w:val="single" w:sz="4" w:color="D0E8ED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Sessão com Alison para rodar E-mail 1 no RD Station + criar usuário do Gabriel</w:t>
            </w:r>
          </w:p>
        </w:tc>
      </w:tr>
      <w:tr>
        <w:tc>
          <w:tcPr>
            <w:tcW w:type="dxa" w:w="2551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  <w:tcBorders>
              <w:top w:val="single" w:sz="4" w:color="FFFFFF"/>
              <w:bottom w:val="single" w:sz="4" w:color="FFFFFF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Próxima reunião CX</w:t>
            </w:r>
          </w:p>
        </w:tc>
        <w:tc>
          <w:tcPr>
            <w:tcW w:type="dxa" w:w="765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E4F4F7"/>
            <w:tcBorders>
              <w:top w:val="single" w:sz="4" w:color="D0E8ED"/>
              <w:bottom w:val="single" w:sz="4" w:color="D0E8ED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Verificar integração CustomerX × RD Station</w:t>
            </w:r>
          </w:p>
        </w:tc>
      </w:tr>
      <w:tr>
        <w:tc>
          <w:tcPr>
            <w:tcW w:type="dxa" w:w="2551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A7488"/>
            <w:tcBorders>
              <w:top w:val="single" w:sz="4" w:color="FFFFFF"/>
              <w:bottom w:val="single" w:sz="4" w:color="FFFFFF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 definir c/ Ricardo</w:t>
            </w:r>
          </w:p>
        </w:tc>
        <w:tc>
          <w:tcPr>
            <w:tcW w:type="dxa" w:w="7654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FFFFFF"/>
            <w:tcBorders>
              <w:top w:val="single" w:sz="4" w:color="D0E8ED"/>
              <w:bottom w:val="single" w:sz="4" w:color="D0E8ED"/>
              <w:left w:val="none" w:sz="4" w:color="000000"/>
              <w:right w:val="none" w:sz="4" w:color="000000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52830"/>
                <w:sz w:val="20"/>
              </w:rPr>
              <w:t>Confirmar data do webinar de setembro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4" w:color="000000"/>
              <w:bottom w:val="none" w:sz="4" w:color="000000"/>
              <w:left w:val="none" w:sz="4" w:color="000000"/>
              <w:right w:val="none" w:sz="4" w:color="000000"/>
            </w:tcBorders>
            <w:shd w:val="clear" w:color="auto" w:fill="0E8FA3"/>
          </w:tcPr>
          <w:p>
            <w:pPr>
              <w:spacing w:before="20" w:after="20"/>
            </w:pPr>
          </w:p>
        </w:tc>
      </w:tr>
    </w:tbl>
    <w:p>
      <w:pPr>
        <w:jc w:val="center"/>
        <w:spacing w:before="120" w:after="0"/>
      </w:pPr>
      <w:r>
        <w:rPr>
          <w:rFonts w:ascii="Calibri" w:hAnsi="Calibri"/>
          <w:b w:val="0"/>
          <w:i w:val="0"/>
          <w:color w:val="456068"/>
          <w:sz w:val="16"/>
        </w:rPr>
        <w:t>Efcaz  |  Ação de Marketing CS  |  Criado em 21/07/2026  |  Gabriel Vital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28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