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8FA3"/>
          <w:sz w:val="36"/>
        </w:rPr>
        <w:t>Feedback de Produto</w:t>
      </w:r>
    </w:p>
    <w:p>
      <w:r>
        <w:rPr>
          <w:b/>
          <w:color w:val="0E8FA3"/>
          <w:sz w:val="36"/>
        </w:rPr>
        <w:t>Robô de Validação de Documentos</w:t>
      </w:r>
    </w:p>
    <w:p/>
    <w:p>
      <w:pPr>
        <w:spacing w:after="40"/>
      </w:pPr>
      <w:r>
        <w:rPr>
          <w:b/>
          <w:color w:val="555555"/>
          <w:sz w:val="20"/>
        </w:rPr>
        <w:t xml:space="preserve">Origem: </w:t>
      </w:r>
      <w:r>
        <w:rPr>
          <w:color w:val="333333"/>
          <w:sz w:val="20"/>
        </w:rPr>
        <w:t>Ideia levantada pela Afonso França (Tier A) — validada como dor generalizada na carteira</w:t>
      </w:r>
    </w:p>
    <w:p>
      <w:pPr>
        <w:spacing w:after="40"/>
      </w:pPr>
      <w:r>
        <w:rPr>
          <w:b/>
          <w:color w:val="555555"/>
          <w:sz w:val="20"/>
        </w:rPr>
        <w:t xml:space="preserve">Data: </w:t>
      </w:r>
      <w:r>
        <w:rPr>
          <w:color w:val="333333"/>
          <w:sz w:val="20"/>
        </w:rPr>
        <w:t>17/07/2026</w:t>
      </w:r>
    </w:p>
    <w:p>
      <w:pPr>
        <w:spacing w:after="40"/>
      </w:pPr>
      <w:r>
        <w:rPr>
          <w:b/>
          <w:color w:val="555555"/>
          <w:sz w:val="20"/>
        </w:rPr>
        <w:t xml:space="preserve">CSM: </w:t>
      </w:r>
      <w:r>
        <w:rPr>
          <w:color w:val="333333"/>
          <w:sz w:val="20"/>
        </w:rPr>
        <w:t>Gabriel Vital</w:t>
      </w:r>
    </w:p>
    <w:p/>
    <w:p>
      <w:r>
        <w:rPr>
          <w:color w:val="0E8FA3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b/>
          <w:color w:val="1A1A2E"/>
          <w:sz w:val="26"/>
        </w:rPr>
        <w:t>1. A Dor</w:t>
      </w:r>
    </w:p>
    <w:p>
      <w:pPr>
        <w:spacing w:after="120"/>
      </w:pPr>
      <w:r>
        <w:rPr>
          <w:sz w:val="22"/>
        </w:rPr>
        <w:t>Todos os clientes da Efcaz possuem equipes dedicadas à validação manual de documentos enviados por fornecedores. Essas equipes — com 2 a 15 pessoas por cliente, às vezes com dedicação exclusiva — abrem, leem e verificam documento por documento.</w:t>
      </w:r>
    </w:p>
    <w:p>
      <w:pPr>
        <w:spacing w:after="120"/>
      </w:pPr>
      <w:r>
        <w:rPr>
          <w:sz w:val="22"/>
        </w:rPr>
        <w:t>O módulo de buscas automáticas já resolve as certidões públicas (FGTS, CND Federal, Estadual, CNDT, IBAMA etc.). Mas tudo o que vai além disso — apólices de seguro, alvarás, registros de classe, habilitações técnicas, ASOs, contratos, certificados ISO — é enviado pelo fornecedor e validado manualmente por alguém do cliente.</w:t>
      </w:r>
    </w:p>
    <w:p>
      <w:pPr>
        <w:spacing w:before="160"/>
      </w:pPr>
      <w:r>
        <w:rPr>
          <w:b/>
          <w:color w:val="0E8FA3"/>
          <w:sz w:val="22"/>
        </w:rPr>
        <w:t>Custo operacional estimado por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835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Pessoas na validação</w:t>
            </w:r>
          </w:p>
        </w:tc>
        <w:tc>
          <w:tcPr>
            <w:tcW w:type="dxa" w:w="2835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Custo mensal estimado</w:t>
            </w:r>
          </w:p>
        </w:tc>
      </w:tr>
      <w:tr>
        <w:tc>
          <w:tcPr>
            <w:tcW w:type="dxa" w:w="3969"/>
            <w:shd w:val="clear" w:color="auto" w:fill="F2FCFD"/>
          </w:tcPr>
          <w:p>
            <w:r>
              <w:rPr>
                <w:sz w:val="20"/>
              </w:rPr>
              <w:t>Cliente médio</w:t>
            </w:r>
          </w:p>
        </w:tc>
        <w:tc>
          <w:tcPr>
            <w:tcW w:type="dxa" w:w="2835"/>
            <w:shd w:val="clear" w:color="auto" w:fill="F2FCFD"/>
          </w:tcPr>
          <w:p>
            <w:r>
              <w:rPr>
                <w:sz w:val="20"/>
              </w:rPr>
              <w:t>3 – 5 pessoas</w:t>
            </w:r>
          </w:p>
        </w:tc>
        <w:tc>
          <w:tcPr>
            <w:tcW w:type="dxa" w:w="2835"/>
            <w:shd w:val="clear" w:color="auto" w:fill="F2FCFD"/>
          </w:tcPr>
          <w:p>
            <w:r>
              <w:rPr>
                <w:sz w:val="20"/>
              </w:rPr>
              <w:t>R$ 9.000 – R$ 15.000/mês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Cliente grande (ex.: Zurich, Afonso França)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8 – 15 pessoas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R$ 24.000 – R$ 45.000/mês</w:t>
            </w:r>
          </w:p>
        </w:tc>
      </w:tr>
    </w:tbl>
    <w:p/>
    <w:p>
      <w:pPr>
        <w:spacing w:after="120"/>
      </w:pPr>
      <w:r>
        <w:rPr>
          <w:b/>
          <w:sz w:val="22"/>
        </w:rPr>
        <w:t>Esse custo é recorrente, invisível e eliminável — e está acontecendo dentro de plataformas como a Efcaz contratadas justamente para automatizar a gestão de documentos.</w:t>
      </w:r>
    </w:p>
    <w:p>
      <w:pPr>
        <w:spacing w:before="280"/>
      </w:pPr>
      <w:r>
        <w:rPr>
          <w:b/>
          <w:color w:val="1A1A2E"/>
          <w:sz w:val="26"/>
        </w:rPr>
        <w:t>2. Caso de Uso Real — Zurich Airport Brasil</w:t>
      </w:r>
    </w:p>
    <w:p>
      <w:pPr>
        <w:spacing w:after="120"/>
      </w:pPr>
      <w:r>
        <w:rPr>
          <w:sz w:val="22"/>
        </w:rPr>
        <w:t>Na Zurich, os documentos cobertos pelas buscas automáticas representam apenas uma fração do total exigido. Toda a documentação complementar (registros, habilitações, apólices) é enviada pelo fornecedor via portal e validada manualmente pela equipe interna.</w:t>
      </w:r>
    </w:p>
    <w:p>
      <w:pPr>
        <w:spacing w:after="120"/>
      </w:pPr>
      <w:r>
        <w:rPr>
          <w:sz w:val="22"/>
        </w:rPr>
        <w:t>Com ~50 fornecedores ativos e múltiplos documentos por fornecedor, o volume de validações manuais mensais é alto — e cresce proporcionalmente ao número de fornecedores na base.</w:t>
      </w:r>
    </w:p>
    <w:p>
      <w:pPr>
        <w:spacing w:before="280"/>
      </w:pPr>
      <w:r>
        <w:rPr>
          <w:b/>
          <w:color w:val="1A1A2E"/>
          <w:sz w:val="26"/>
        </w:rPr>
        <w:t>3. Proposta de Solução — Robô de Validação de Documentos</w:t>
      </w:r>
    </w:p>
    <w:p>
      <w:pPr>
        <w:spacing w:after="120"/>
      </w:pPr>
      <w:r>
        <w:rPr>
          <w:sz w:val="22"/>
        </w:rPr>
        <w:t>Um módulo automatizado que, ao receber um documento enviado pelo fornecedor, executa validações sem intervenção humana.</w:t>
      </w:r>
    </w:p>
    <w:p>
      <w:pPr>
        <w:spacing w:before="160"/>
      </w:pPr>
      <w:r>
        <w:rPr>
          <w:b/>
          <w:color w:val="0E8FA3"/>
          <w:sz w:val="22"/>
        </w:rPr>
        <w:t>Funcionalidades priorizadas por complexidade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Prior.</w:t>
            </w:r>
          </w:p>
        </w:tc>
        <w:tc>
          <w:tcPr>
            <w:tcW w:type="dxa" w:w="2551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1701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Complexidade</w:t>
            </w:r>
          </w:p>
        </w:tc>
        <w:tc>
          <w:tcPr>
            <w:tcW w:type="dxa" w:w="3969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850"/>
            <w:shd w:val="clear" w:color="auto" w:fill="F2FCFD"/>
          </w:tcPr>
          <w:p>
            <w:r>
              <w:rPr>
                <w:sz w:val="20"/>
              </w:rPr>
              <w:t>🥇 1</w:t>
            </w:r>
          </w:p>
        </w:tc>
        <w:tc>
          <w:tcPr>
            <w:tcW w:type="dxa" w:w="2551"/>
            <w:shd w:val="clear" w:color="auto" w:fill="F2FCFD"/>
          </w:tcPr>
          <w:p>
            <w:r>
              <w:rPr>
                <w:sz w:val="20"/>
              </w:rPr>
              <w:t>Leitura de data de validade</w:t>
            </w:r>
          </w:p>
        </w:tc>
        <w:tc>
          <w:tcPr>
            <w:tcW w:type="dxa" w:w="1701"/>
            <w:shd w:val="clear" w:color="auto" w:fill="F2FCFD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3969"/>
            <w:shd w:val="clear" w:color="auto" w:fill="F2FCFD"/>
          </w:tcPr>
          <w:p>
            <w:r>
              <w:rPr>
                <w:sz w:val="20"/>
              </w:rPr>
              <w:t>OCR extrai a data de validade do PDF e popula automaticamente o campo na plataforma — sem depender do fornecedor informar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🥈 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Verificação de tipo de documento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Classifica se o PDF enviado é realmente o documento esperado no campo (ex.: NF enviada no campo de CND Federal)</w:t>
            </w:r>
          </w:p>
        </w:tc>
      </w:tr>
      <w:tr>
        <w:tc>
          <w:tcPr>
            <w:tcW w:type="dxa" w:w="850"/>
            <w:shd w:val="clear" w:color="auto" w:fill="F2FCFD"/>
          </w:tcPr>
          <w:p>
            <w:r>
              <w:rPr>
                <w:sz w:val="20"/>
              </w:rPr>
              <w:t>🥉 3</w:t>
            </w:r>
          </w:p>
        </w:tc>
        <w:tc>
          <w:tcPr>
            <w:tcW w:type="dxa" w:w="2551"/>
            <w:shd w:val="clear" w:color="auto" w:fill="F2FCFD"/>
          </w:tcPr>
          <w:p>
            <w:r>
              <w:rPr>
                <w:sz w:val="20"/>
              </w:rPr>
              <w:t>Cruzamento com dados do cadastro</w:t>
            </w:r>
          </w:p>
        </w:tc>
        <w:tc>
          <w:tcPr>
            <w:tcW w:type="dxa" w:w="1701"/>
            <w:shd w:val="clear" w:color="auto" w:fill="F2FCFD"/>
          </w:tcPr>
          <w:p>
            <w:r>
              <w:rPr>
                <w:sz w:val="20"/>
              </w:rPr>
              <w:t>Média-alta</w:t>
            </w:r>
          </w:p>
        </w:tc>
        <w:tc>
          <w:tcPr>
            <w:tcW w:type="dxa" w:w="3969"/>
            <w:shd w:val="clear" w:color="auto" w:fill="F2FCFD"/>
          </w:tcPr>
          <w:p>
            <w:r>
              <w:rPr>
                <w:sz w:val="20"/>
              </w:rPr>
              <w:t>OCR extrai CNPJ, razão social e outros dados e valida se batem com o cadastro do fornecedor na plataforma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Detecção de adulteração/fraude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Análise de integridade do PDF (metadados, assinaturas digitais, edições) — sinaliza documentos potencialmente fraudados</w:t>
            </w:r>
          </w:p>
        </w:tc>
      </w:tr>
    </w:tbl>
    <w:p/>
    <w:p>
      <w:pPr>
        <w:spacing w:after="120"/>
      </w:pPr>
      <w:r>
        <w:rPr>
          <w:i/>
          <w:sz w:val="22"/>
        </w:rPr>
        <w:t>→ As funcionalidades 1 e 2 já justificam o produto e entregam valor imediato como MVP.</w:t>
      </w:r>
    </w:p>
    <w:p>
      <w:pPr>
        <w:spacing w:before="280"/>
      </w:pPr>
      <w:r>
        <w:rPr>
          <w:b/>
          <w:color w:val="1A1A2E"/>
          <w:sz w:val="26"/>
        </w:rPr>
        <w:t>4. Impacto Esperado</w:t>
      </w:r>
    </w:p>
    <w:p>
      <w:pPr>
        <w:pStyle w:val="ListBullet"/>
      </w:pPr>
      <w:r>
        <w:rPr>
          <w:b/>
          <w:sz w:val="22"/>
        </w:rPr>
        <w:t xml:space="preserve">Para o cliente: </w:t>
      </w:r>
      <w:r>
        <w:rPr>
          <w:sz w:val="22"/>
        </w:rPr>
        <w:t>redução drástica de horas de trabalho manual; diminuição do risco de documentos incorretos ou fraudados passarem despercebidos.</w:t>
      </w:r>
    </w:p>
    <w:p>
      <w:pPr>
        <w:pStyle w:val="ListBullet"/>
      </w:pPr>
      <w:r>
        <w:rPr>
          <w:b/>
          <w:sz w:val="22"/>
        </w:rPr>
        <w:t xml:space="preserve">Para a Efcaz: </w:t>
      </w:r>
      <w:r>
        <w:rPr>
          <w:sz w:val="22"/>
        </w:rPr>
        <w:t>diferencial competitivo no mercado SRM; argumento de ROI tangível e mensurável para vendas e renovações.</w:t>
      </w:r>
    </w:p>
    <w:p>
      <w:pPr>
        <w:pStyle w:val="ListBullet"/>
      </w:pPr>
      <w:r>
        <w:rPr>
          <w:b/>
          <w:sz w:val="22"/>
        </w:rPr>
        <w:t xml:space="preserve">Para o CSM: </w:t>
      </w:r>
      <w:r>
        <w:rPr>
          <w:sz w:val="22"/>
        </w:rPr>
        <w:t>fortalece argumento de retenção e abre oportunidade de upsell como módulo adicional.</w:t>
      </w:r>
    </w:p>
    <w:p/>
    <w:p>
      <w:pPr>
        <w:spacing w:before="280"/>
      </w:pPr>
      <w:r>
        <w:rPr>
          <w:b/>
          <w:color w:val="1A1A2E"/>
          <w:sz w:val="26"/>
        </w:rPr>
        <w:t>5. Perguntas para o Time de Produto</w:t>
      </w:r>
    </w:p>
    <w:p>
      <w:pPr>
        <w:pStyle w:val="ListNumber"/>
      </w:pPr>
      <w:r>
        <w:rPr>
          <w:sz w:val="22"/>
        </w:rPr>
        <w:t>Existe alguma iniciativa parecida já em roadmap ou explorada anteriormente?</w:t>
      </w:r>
    </w:p>
    <w:p>
      <w:pPr>
        <w:pStyle w:val="ListNumber"/>
      </w:pPr>
      <w:r>
        <w:rPr>
          <w:sz w:val="22"/>
        </w:rPr>
        <w:t>Qual seria o nível de esforço para implementar as funcionalidades 1 e 2 como MVP?</w:t>
      </w:r>
    </w:p>
    <w:p>
      <w:pPr>
        <w:pStyle w:val="ListNumber"/>
      </w:pPr>
      <w:r>
        <w:rPr>
          <w:sz w:val="22"/>
        </w:rPr>
        <w:t>Faz sentido como módulo adicional (upsell) ou como evolução da plataforma base?</w:t>
      </w:r>
    </w:p>
    <w:p>
      <w:pPr>
        <w:pStyle w:val="ListNumber"/>
      </w:pPr>
      <w:r>
        <w:rPr>
          <w:sz w:val="22"/>
        </w:rPr>
        <w:t>Quais clientes poderiam participar de um piloto?</w:t>
      </w:r>
    </w:p>
    <w:p/>
    <w:p>
      <w:pPr>
        <w:spacing w:before="280"/>
      </w:pPr>
      <w:r>
        <w:rPr>
          <w:b/>
          <w:color w:val="1A1A2E"/>
          <w:sz w:val="26"/>
        </w:rPr>
        <w:t>6. Clientes Potenciais para Piloto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1134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5102"/>
            <w:shd w:val="clear" w:color="auto" w:fill="0E8FA3"/>
          </w:tcPr>
          <w:p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835"/>
            <w:shd w:val="clear" w:color="auto" w:fill="F2FCFD"/>
          </w:tcPr>
          <w:p>
            <w:r>
              <w:rPr>
                <w:sz w:val="20"/>
              </w:rPr>
              <w:t>Afonso França</w:t>
            </w:r>
          </w:p>
        </w:tc>
        <w:tc>
          <w:tcPr>
            <w:tcW w:type="dxa" w:w="1134"/>
            <w:shd w:val="clear" w:color="auto" w:fill="F2FCFD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102"/>
            <w:shd w:val="clear" w:color="auto" w:fill="F2FCFD"/>
          </w:tcPr>
          <w:p>
            <w:r>
              <w:rPr>
                <w:sz w:val="20"/>
              </w:rPr>
              <w:t>Origem da ideia; Karine é referência operacional, aberta a testes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Zurich Airport Brasil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Volume alto de documentos manuais; base mapeada</w:t>
            </w:r>
          </w:p>
        </w:tc>
      </w:tr>
      <w:tr>
        <w:tc>
          <w:tcPr>
            <w:tcW w:type="dxa" w:w="2835"/>
            <w:shd w:val="clear" w:color="auto" w:fill="F2FCFD"/>
          </w:tcPr>
          <w:p>
            <w:r>
              <w:rPr>
                <w:sz w:val="20"/>
              </w:rPr>
              <w:t>Grupo Sábara</w:t>
            </w:r>
          </w:p>
        </w:tc>
        <w:tc>
          <w:tcPr>
            <w:tcW w:type="dxa" w:w="1134"/>
            <w:shd w:val="clear" w:color="auto" w:fill="F2FCFD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5102"/>
            <w:shd w:val="clear" w:color="auto" w:fill="F2FCFD"/>
          </w:tcPr>
          <w:p>
            <w:r>
              <w:rPr>
                <w:sz w:val="20"/>
              </w:rPr>
              <w:t>Múltiplos tipos de fornecedor; fluxo de segurança ativo</w:t>
            </w:r>
          </w:p>
        </w:tc>
      </w:tr>
    </w:tbl>
    <w:p/>
    <w:p>
      <w:pPr>
        <w:spacing w:before="280"/>
      </w:pPr>
      <w:r>
        <w:rPr>
          <w:b/>
          <w:color w:val="1A1A2E"/>
          <w:sz w:val="26"/>
        </w:rPr>
        <w:t>7. Próximo Passo Sugerido</w:t>
      </w:r>
    </w:p>
    <w:p>
      <w:pPr>
        <w:spacing w:after="120"/>
      </w:pPr>
      <w:r>
        <w:rPr>
          <w:sz w:val="22"/>
        </w:rPr>
        <w:t>Agendar 30 min com o time de produto para apresentar o caso de uso e mapear viabilidade do MVP (funcionalidades 1 e 2). Gabriel pode participar para trazer a voz do cliente.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