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800"/>
        </w:tabs>
      </w:pPr>
      <w:r>
        <w:rPr>
          <w:b w:val="false"/>
          <w:bCs w:val="false"/>
          <w:sz w:val="33"/>
          <w:szCs w:val="33"/>
        </w:rPr>
        <w:t xml:space="preserve">NAMA PENUH</w:t>
      </w:r>
      <w:r>
        <w:t xml:space="preserve">	</w:t>
      </w:r>
      <w:r>
        <w:rPr>
          <w:b w:val="false"/>
          <w:bCs w:val="false"/>
          <w:sz w:val="37"/>
          <w:szCs w:val="37"/>
        </w:rPr>
        <w:t xml:space="preserve">faizalamat</w:t>
      </w:r>
    </w:p>
    <w:p>
      <w:pPr>
        <w:tabs>
          <w:tab w:val="left" w:pos="1482"/>
        </w:tabs>
      </w:pPr>
      <w:r>
        <w:rPr>
          <w:b w:val="false"/>
          <w:bCs w:val="false"/>
          <w:sz w:val="33"/>
          <w:szCs w:val="33"/>
        </w:rPr>
        <w:t xml:space="preserve">NO MYKAD</w:t>
      </w:r>
      <w:r>
        <w:t xml:space="preserve">	</w:t>
      </w:r>
      <w:r>
        <w:rPr>
          <w:b w:val="false"/>
          <w:bCs w:val="false"/>
          <w:sz w:val="34"/>
          <w:szCs w:val="34"/>
        </w:rPr>
        <w:t xml:space="preserve">770717017512</w:t>
      </w:r>
    </w:p>
    <w:p>
      <w:r>
        <w:rPr>
          <w:b w:val="false"/>
          <w:bCs w:val="false"/>
          <w:sz w:val="26"/>
          <w:szCs w:val="26"/>
        </w:rPr>
        <w:t xml:space="preserve">3.1	Projek Naik Taraf Infrastruktur ICT dan Perkhidmatan Pembangunan Kriptografi Berpusat di Pusat Teknologi dan Pengurusan Kriptologi Malaysia (PTPKM) 
3.1.1	Mesyuarat menerima maklum bahawa status terkini ialah:
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 Universiti Putra Malaysia;
b)	Permohonan peruntukan telah dikemukakan di dalam RMK-13 untuk kegunaan PTPKM sebanyak RM 43,749,371.16 (dengan SST);
c)	Pelaksanaan perolehan ini hanya akan dimulakan pada Rolling Plan (RP2) RMK-13 pada tahun 2027; dan
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2026-04-26T14:13:22.514Z</dcterms:created>
  <dcterms:modified xsi:type="dcterms:W3CDTF">2026-04-26T14:13:22.514Z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