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3.1       Projek Naik Taraf Infrastruktur ICT dan Perkhidmatan Pembangunan Kriptografi Berpusat               di Pusat Teknologi dan Pengurusan Kriptologi Malaysia (PTPKM)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3.1.1   Mesyuarat menerima maklum bahawa status terkini ialah: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        a)    NACSA telah menerima kelulusan untuk menduduki di Aras 4, Setia Perdana  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               5, Kompleks Setia Perdana, JPM Putrajaya daripada YBhg. Datuk Dr. TKSU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               (Pengurusan) JPM melalui surat nombor rujukan JPM.200-5/1/1 JLD.8 (42) dan                               PTPKM tidak akan melibatkan proses menduduki bangunan di bawah pihak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               Universiti Putra Malaysia;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Permohonan peruntukan telah dikemukakan di dalam RMK-13 untuk kegunaan PTPKM sebanyak RM 43,749,371.16 (dengan SST);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Pelaksanaan perolehan ini hanya akan dimulakan pada Rolling Plan (RP2) RMK-13 pada tahun 2027; dan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2026-04-28T09:28:32.810Z</dcterms:created>
  <dcterms:modified xsi:type="dcterms:W3CDTF">2026-04-28T09:28:32.810Z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