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3.1	  Projek Naik Taraf Infrastruktur ICT dan Perkhidmatan Pembangunan Kriptografi Berpusat di Pusat 
        Teknologi dan Pengurusan Kriptologi Malaysia (PTPKM) 
        3.1.1	Mesyuarat menerima maklum bahawa status terkini ialah:
                 a)	NACSA telah menerima kelulusan untuk menduduki di Aras 4, Setia Perdana 5, Kompleks Setia                       Perdana, JPM Putrajaya daripada YBhg. Datuk Dr. TKSU (Pengurusan) JPM melalui surat  
                     nombor rujukan JPM.200-5/1/1 JLD.8 (42) dan PTPKM tidak akan melibatkan proses menduduki                       bangunan di bawah pihak Universiti Putra Malaysia;
                 b)	Permohonan peruntukan telah dikemukakan di dalam RMK-13 untuk kegunaan PTPKM 
                     sebanyak RM 43,749,371.16 (dengan SST);
                 c)	Pelaksanaan perolehan ini hanya akan dimulakan pada Rolling Plan (RP2) RMK-13 pada tahun                        2027; dan
</w:t>
      </w:r>
    </w:p>
    <w:sectPr>
      <w:pgSz w:w="11906" w:h="16838" w:orient="portrait"/>
      <w:pgMar w:top="720" w:right="72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2026-04-26T15:56:05.029Z</dcterms:created>
  <dcterms:modified xsi:type="dcterms:W3CDTF">2026-04-26T15:56:05.029Z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