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100"/>
      </w:pPr>
    </w:p>
    <w:p>
      <w:pPr>
        <w:pStyle w:val="Title"/>
        <w:spacing w:after="360"/>
        <w:jc w:val="center"/>
      </w:pPr>
      <w:r>
        <w:rPr>
          <w:rFonts w:ascii="Arial" w:hAnsi="Arial"/>
          <w:b/>
          <w:i w:val="0"/>
          <w:color w:val="000000"/>
          <w:sz w:val="46"/>
        </w:rPr>
        <w:t>Priorização de inspeções de vegetação na Via Dutra</w:t>
      </w:r>
    </w:p>
    <w:p>
      <w:pPr>
        <w:spacing w:after="440"/>
        <w:jc w:val="center"/>
      </w:pPr>
      <w:r>
        <w:rPr>
          <w:rFonts w:ascii="Arial" w:hAnsi="Arial"/>
          <w:b w:val="0"/>
          <w:i w:val="0"/>
          <w:color w:val="000000"/>
          <w:sz w:val="28"/>
        </w:rPr>
        <w:t>Prova de conceito de Ciência de Dados com Sentinel 2</w:t>
      </w:r>
    </w:p>
    <w:p>
      <w:pPr>
        <w:jc w:val="center"/>
      </w:pPr>
      <w:r>
        <w:rPr>
          <w:rFonts w:ascii="Arial" w:hAnsi="Arial"/>
          <w:b/>
          <w:i w:val="0"/>
          <w:color w:val="000000"/>
          <w:sz w:val="24"/>
        </w:rPr>
        <w:t>BR 116 entre Jacareí e São José dos Campos</w:t>
      </w:r>
    </w:p>
    <w:p>
      <w:pPr>
        <w:spacing w:after="240"/>
        <w:jc w:val="center"/>
      </w:pPr>
      <w:r>
        <w:rPr>
          <w:rFonts w:ascii="Arial" w:hAnsi="Arial"/>
          <w:b w:val="0"/>
          <w:i w:val="0"/>
          <w:color w:val="000000"/>
          <w:sz w:val="22"/>
        </w:rPr>
        <w:t>CCR RioSP Motiva</w:t>
      </w:r>
    </w:p>
    <w:p>
      <w:pPr>
        <w:spacing w:after="100"/>
        <w:jc w:val="center"/>
      </w:pPr>
      <w:r>
        <w:rPr>
          <w:rFonts w:ascii="Arial" w:hAnsi="Arial"/>
          <w:b/>
          <w:i w:val="0"/>
          <w:color w:val="000000"/>
          <w:sz w:val="22"/>
        </w:rPr>
        <w:t>Integrantes da turma 2CCPG</w:t>
      </w:r>
    </w:p>
    <w:p>
      <w:pPr>
        <w:spacing w:after="20"/>
        <w:jc w:val="center"/>
      </w:pPr>
      <w:r>
        <w:rPr>
          <w:rFonts w:ascii="Arial" w:hAnsi="Arial"/>
          <w:b w:val="0"/>
          <w:i w:val="0"/>
          <w:color w:val="000000"/>
          <w:sz w:val="19"/>
        </w:rPr>
        <w:t>Pedro Henrique dos Santos Cardoso - RM 563268 - 2CCPG</w:t>
      </w:r>
    </w:p>
    <w:p>
      <w:pPr>
        <w:spacing w:after="20"/>
        <w:jc w:val="center"/>
      </w:pPr>
      <w:r>
        <w:rPr>
          <w:rFonts w:ascii="Arial" w:hAnsi="Arial"/>
          <w:b w:val="0"/>
          <w:i w:val="0"/>
          <w:color w:val="000000"/>
          <w:sz w:val="19"/>
        </w:rPr>
        <w:t>Gabriel Gibin Leoncio - RM 565462 - 2CCPG</w:t>
      </w:r>
    </w:p>
    <w:p>
      <w:pPr>
        <w:spacing w:after="20"/>
        <w:jc w:val="center"/>
      </w:pPr>
      <w:r>
        <w:rPr>
          <w:rFonts w:ascii="Arial" w:hAnsi="Arial"/>
          <w:b w:val="0"/>
          <w:i w:val="0"/>
          <w:color w:val="000000"/>
          <w:sz w:val="19"/>
        </w:rPr>
        <w:t>Rafael do Nascimento Silva - RM 566263 - 2CCPG</w:t>
      </w:r>
    </w:p>
    <w:p>
      <w:pPr>
        <w:spacing w:after="20"/>
        <w:jc w:val="center"/>
      </w:pPr>
      <w:r>
        <w:rPr>
          <w:rFonts w:ascii="Arial" w:hAnsi="Arial"/>
          <w:b w:val="0"/>
          <w:i w:val="0"/>
          <w:color w:val="000000"/>
          <w:sz w:val="19"/>
        </w:rPr>
        <w:t>Rai Augusto Ribeiro - RM 562870 - 2CCPG</w:t>
      </w:r>
    </w:p>
    <w:p>
      <w:pPr>
        <w:spacing w:after="20"/>
        <w:jc w:val="center"/>
      </w:pPr>
      <w:r>
        <w:rPr>
          <w:rFonts w:ascii="Arial" w:hAnsi="Arial"/>
          <w:b w:val="0"/>
          <w:i w:val="0"/>
          <w:color w:val="000000"/>
          <w:sz w:val="19"/>
        </w:rPr>
        <w:t>Guilherme Morais de Assis - RM 564198 - 2CCPG</w:t>
      </w:r>
    </w:p>
    <w:p>
      <w:pPr>
        <w:spacing w:after="20"/>
        <w:jc w:val="center"/>
      </w:pPr>
      <w:r>
        <w:rPr>
          <w:rFonts w:ascii="Arial" w:hAnsi="Arial"/>
          <w:b w:val="0"/>
          <w:i w:val="0"/>
          <w:color w:val="000000"/>
          <w:sz w:val="19"/>
        </w:rPr>
        <w:t>Lucas Werpp Franco - RM 556044 - 2CCPG</w:t>
      </w:r>
    </w:p>
    <w:p>
      <w:pPr>
        <w:spacing w:after="760"/>
      </w:pPr>
    </w:p>
    <w:p>
      <w:pPr>
        <w:jc w:val="center"/>
      </w:pPr>
      <w:r>
        <w:rPr>
          <w:rFonts w:ascii="Arial" w:hAnsi="Arial"/>
          <w:b w:val="0"/>
          <w:i w:val="0"/>
          <w:color w:val="000000"/>
          <w:sz w:val="22"/>
        </w:rPr>
        <w:t>Setembro de 2026</w:t>
      </w:r>
    </w:p>
    <w:p>
      <w:r>
        <w:br w:type="page"/>
      </w:r>
    </w:p>
    <w:p>
      <w:pPr>
        <w:pStyle w:val="Heading1"/>
      </w:pPr>
      <w:r>
        <w:t>Resumo</w:t>
      </w:r>
    </w:p>
    <w:p>
      <w:pPr>
        <w:spacing w:after="120" w:line="269" w:lineRule="auto"/>
      </w:pPr>
      <w:r>
        <w:rPr>
          <w:rFonts w:ascii="Arial" w:hAnsi="Arial"/>
          <w:b w:val="0"/>
          <w:i w:val="0"/>
          <w:color w:val="000000"/>
          <w:sz w:val="22"/>
        </w:rPr>
        <w:t>Este trabalho apresenta uma prova de conceito para priorizar inspeções de vegetação na BR-116 entre Jacareí e São José dos Campos. O pipeline combina o traçado público da rodovia com cenas Sentinel-2 L2A de agosto de 2024 e agosto de 2025. Foram construídas 184 observações reais em 92 pontos, classificadas por uma regra proxy explicável. O resultado indica 65 pontos de prioridade baixa, 22 média e 5 alta. As classes organizam a inspeção e não constituem laudo de risco.</w:t>
      </w:r>
    </w:p>
    <w:p>
      <w:pPr>
        <w:pStyle w:val="Heading2"/>
      </w:pPr>
      <w:r>
        <w:t>Principais resultados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824"/>
        <w:gridCol w:w="4824"/>
      </w:tblGrid>
      <w:tr>
        <w:trPr>
          <w:tblHeader w:val="true"/>
        </w:trPr>
        <w:tc>
          <w:tcPr>
            <w:tcW w:type="dxa" w:w="4896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Indicador</w:t>
            </w:r>
          </w:p>
        </w:tc>
        <w:tc>
          <w:tcPr>
            <w:tcW w:type="dxa" w:w="460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Resultado</w:t>
            </w:r>
          </w:p>
        </w:tc>
      </w:tr>
      <w:tr>
        <w:tc>
          <w:tcPr>
            <w:tcW w:type="dxa" w:w="48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Observações tabulares reais</w:t>
            </w:r>
          </w:p>
        </w:tc>
        <w:tc>
          <w:tcPr>
            <w:tcW w:type="dxa" w:w="4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184</w:t>
            </w:r>
          </w:p>
        </w:tc>
      </w:tr>
      <w:tr>
        <w:tc>
          <w:tcPr>
            <w:tcW w:type="dxa" w:w="48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Pontos comparáveis</w:t>
            </w:r>
          </w:p>
        </w:tc>
        <w:tc>
          <w:tcPr>
            <w:tcW w:type="dxa" w:w="4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92</w:t>
            </w:r>
          </w:p>
        </w:tc>
      </w:tr>
      <w:tr>
        <w:tc>
          <w:tcPr>
            <w:tcW w:type="dxa" w:w="48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Períodos</w:t>
            </w:r>
          </w:p>
        </w:tc>
        <w:tc>
          <w:tcPr>
            <w:tcW w:type="dxa" w:w="4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Agosto de 2024 e agosto de 2025</w:t>
            </w:r>
          </w:p>
        </w:tc>
      </w:tr>
      <w:tr>
        <w:tc>
          <w:tcPr>
            <w:tcW w:type="dxa" w:w="48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Prioridade baixa</w:t>
            </w:r>
          </w:p>
        </w:tc>
        <w:tc>
          <w:tcPr>
            <w:tcW w:type="dxa" w:w="4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65 pontos 70,7 por cento</w:t>
            </w:r>
          </w:p>
        </w:tc>
      </w:tr>
      <w:tr>
        <w:tc>
          <w:tcPr>
            <w:tcW w:type="dxa" w:w="48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Prioridade média</w:t>
            </w:r>
          </w:p>
        </w:tc>
        <w:tc>
          <w:tcPr>
            <w:tcW w:type="dxa" w:w="4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22 pontos 23,9 por cento</w:t>
            </w:r>
          </w:p>
        </w:tc>
      </w:tr>
      <w:tr>
        <w:tc>
          <w:tcPr>
            <w:tcW w:type="dxa" w:w="48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Prioridade alta</w:t>
            </w:r>
          </w:p>
        </w:tc>
        <w:tc>
          <w:tcPr>
            <w:tcW w:type="dxa" w:w="4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5 pontos 5,4 por cento</w:t>
            </w:r>
          </w:p>
        </w:tc>
      </w:tr>
      <w:tr>
        <w:tc>
          <w:tcPr>
            <w:tcW w:type="dxa" w:w="48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Variação média do NDVI</w:t>
            </w:r>
          </w:p>
        </w:tc>
        <w:tc>
          <w:tcPr>
            <w:tcW w:type="dxa" w:w="4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-0,0064</w:t>
            </w:r>
          </w:p>
        </w:tc>
      </w:tr>
    </w:tbl>
    <w:p>
      <w:pPr>
        <w:spacing w:after="0"/>
      </w:pPr>
    </w:p>
    <w:p>
      <w:pPr>
        <w:spacing w:after="120" w:line="269" w:lineRule="auto"/>
      </w:pPr>
      <w:r>
        <w:rPr>
          <w:rFonts w:ascii="Arial" w:hAnsi="Arial"/>
          <w:b/>
          <w:i w:val="0"/>
          <w:color w:val="000000"/>
          <w:sz w:val="22"/>
        </w:rPr>
        <w:t>Conclusão principal:</w:t>
      </w:r>
      <w:r>
        <w:rPr>
          <w:rFonts w:ascii="Arial" w:hAnsi="Arial"/>
          <w:b w:val="0"/>
          <w:i w:val="0"/>
          <w:color w:val="000000"/>
          <w:sz w:val="22"/>
        </w:rPr>
        <w:t xml:space="preserve"> o processo automatizado consegue gerar uma fila inicial de inspeção com dados públicos reais. A resolução espacial e a ausência de validação em campo impedem interpretar essa fila como diagnóstico de segurança.</w:t>
      </w:r>
    </w:p>
    <w:p>
      <w:pPr>
        <w:pStyle w:val="Heading1"/>
      </w:pPr>
      <w:r>
        <w:t>1 Introdução</w:t>
      </w:r>
    </w:p>
    <w:p>
      <w:pPr>
        <w:spacing w:after="120" w:line="269" w:lineRule="auto"/>
      </w:pPr>
      <w:r>
        <w:rPr>
          <w:rFonts w:ascii="Arial" w:hAnsi="Arial"/>
          <w:b w:val="0"/>
          <w:i w:val="0"/>
          <w:color w:val="000000"/>
          <w:sz w:val="22"/>
        </w:rPr>
        <w:t>A gestão da vegetação ao longo de rodovias exige acompanhamento contínuo para planejar inspeções e intervenções. Como o desafio não prevê uma campanha própria de coleta em campo, foram usadas fontes públicas e APIs. Além do resultado, o trabalho registra as decisões metodológicas, a qualidade dos dados e as limitações.</w:t>
      </w:r>
    </w:p>
    <w:p>
      <w:pPr>
        <w:spacing w:after="120" w:line="269" w:lineRule="auto"/>
      </w:pPr>
      <w:r>
        <w:rPr>
          <w:rFonts w:ascii="Arial" w:hAnsi="Arial"/>
          <w:b w:val="0"/>
          <w:i w:val="0"/>
          <w:color w:val="000000"/>
          <w:sz w:val="22"/>
        </w:rPr>
        <w:t>O projeto segue o caminho tabular previsto no enunciado: fonte pública, coleta, tratamento, análise exploratória e engenharia de atributos. A combinação de dados geográficos com duas datas de satélite permite avaliar presença e variação do sinal de vegetação sem criar observações artificiais.</w:t>
      </w:r>
    </w:p>
    <w:p>
      <w:pPr>
        <w:pStyle w:val="Heading1"/>
      </w:pPr>
      <w:r>
        <w:t>2 Pergunta e objetivos</w:t>
      </w:r>
    </w:p>
    <w:p>
      <w:pPr>
        <w:spacing w:after="120" w:line="269" w:lineRule="auto"/>
      </w:pPr>
      <w:r>
        <w:rPr>
          <w:rFonts w:ascii="Arial" w:hAnsi="Arial"/>
          <w:b/>
          <w:i w:val="0"/>
          <w:color w:val="000000"/>
          <w:sz w:val="22"/>
        </w:rPr>
        <w:t>Pergunta de Ciência de Dados:</w:t>
      </w:r>
      <w:r>
        <w:rPr>
          <w:rFonts w:ascii="Arial" w:hAnsi="Arial"/>
          <w:b w:val="0"/>
          <w:i w:val="0"/>
          <w:color w:val="000000"/>
          <w:sz w:val="22"/>
        </w:rPr>
        <w:t xml:space="preserve"> quais pontos da BR-116 apresentam maior presença ou aumento de vegetação no entorno imediato e devem ser priorizados para inspeção?</w:t>
      </w:r>
    </w:p>
    <w:p>
      <w:pPr>
        <w:spacing w:after="120" w:line="269" w:lineRule="auto"/>
      </w:pPr>
      <w:r>
        <w:rPr>
          <w:rFonts w:ascii="Arial" w:hAnsi="Arial"/>
          <w:b w:val="0"/>
          <w:i w:val="0"/>
          <w:color w:val="000000"/>
          <w:sz w:val="22"/>
        </w:rPr>
        <w:t>O objetivo foi construir um pipeline capaz de obter cenas reais, preparar dados, calcular indicadores de vegetação, criar rótulos explicáveis e apresentar os resultados em tabela e gráficos.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000000"/>
          <w:sz w:val="22"/>
        </w:rPr>
        <w:t>Obter e documentar fontes públicas da rodovia e das imagens de satélite.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000000"/>
          <w:sz w:val="22"/>
        </w:rPr>
        <w:t>Gerar pontos espacialmente distribuídos nas pistas principais.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000000"/>
          <w:sz w:val="22"/>
        </w:rPr>
        <w:t>Calcular NDVI e atributos de qualidade em períodos comparáveis.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000000"/>
          <w:sz w:val="22"/>
        </w:rPr>
        <w:t>Criar uma prioridade reproduzível e discutir seus limites de uso.</w:t>
      </w:r>
    </w:p>
    <w:p>
      <w:pPr>
        <w:pStyle w:val="Heading1"/>
      </w:pPr>
      <w:r>
        <w:t>3 Fontes de dados</w:t>
      </w:r>
    </w:p>
    <w:p>
      <w:pPr>
        <w:spacing w:after="120" w:line="269" w:lineRule="auto"/>
      </w:pPr>
      <w:r>
        <w:rPr>
          <w:rFonts w:ascii="Arial" w:hAnsi="Arial"/>
          <w:b w:val="0"/>
          <w:i w:val="0"/>
          <w:color w:val="000000"/>
          <w:sz w:val="22"/>
        </w:rPr>
        <w:t>O eixo auxiliar da BR-116 foi obtido do OpenStreetMap por consulta automatizada ao Overpass. O Sistema Nacional de Viação do DNIT serviu como referência institucional. O trecho faz parte da Via Dutra administrada pela CCR RioSP, empresa Motiva.</w:t>
      </w:r>
    </w:p>
    <w:p>
      <w:pPr>
        <w:spacing w:after="120" w:line="269" w:lineRule="auto"/>
      </w:pPr>
      <w:r>
        <w:rPr>
          <w:rFonts w:ascii="Arial" w:hAnsi="Arial"/>
          <w:b w:val="0"/>
          <w:i w:val="0"/>
          <w:color w:val="000000"/>
          <w:sz w:val="22"/>
        </w:rPr>
        <w:t>As imagens Sentinel-2 L2A foram consultadas na API STAC do Microsoft Planetary Computer. O Sentinel-2 possui bandas visíveis e de infravermelho próximo com resolução de 10 m, adequadas ao cálculo do NDVI. A API e os ativos usados não exigiram serviço pago.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4320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Data</w:t>
            </w:r>
          </w:p>
        </w:tc>
        <w:tc>
          <w:tcPr>
            <w:tcW w:type="dxa" w:w="187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Tile</w:t>
            </w:r>
          </w:p>
        </w:tc>
        <w:tc>
          <w:tcPr>
            <w:tcW w:type="dxa" w:w="331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Cobertura de nuvens</w:t>
            </w:r>
          </w:p>
        </w:tc>
      </w:tr>
      <w:tr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23 de agosto de 2024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23KLQ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0,002 por cento</w:t>
            </w:r>
          </w:p>
        </w:tc>
      </w:tr>
      <w:tr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23 de agosto de 2024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23KMQ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0,003 por cento</w:t>
            </w:r>
          </w:p>
        </w:tc>
      </w:tr>
      <w:tr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13 de agosto de 2025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23KLQ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0,015 por cento</w:t>
            </w:r>
          </w:p>
        </w:tc>
      </w:tr>
      <w:tr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13 de agosto de 2025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23KMQ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1,887 por cento</w:t>
            </w:r>
          </w:p>
        </w:tc>
      </w:tr>
    </w:tbl>
    <w:p>
      <w:pPr>
        <w:spacing w:after="0"/>
      </w:pPr>
    </w:p>
    <w:p>
      <w:pPr>
        <w:pStyle w:val="Heading1"/>
      </w:pPr>
      <w:r>
        <w:t>4 Método</w:t>
      </w:r>
    </w:p>
    <w:p>
      <w:pPr>
        <w:spacing w:after="120" w:line="269" w:lineRule="auto"/>
      </w:pPr>
      <w:r>
        <w:rPr>
          <w:rFonts w:ascii="Arial" w:hAnsi="Arial"/>
          <w:b w:val="0"/>
          <w:i w:val="0"/>
          <w:color w:val="000000"/>
          <w:sz w:val="22"/>
        </w:rPr>
        <w:t>O traçado foi filtrado pelas pistas classificadas como motorway. O algoritmo selecionou 92 pontos com distância mínima aproximada de 150 m. Para cada data, foram lidas as bandas B04, B08 e a classificação da cena SCL apenas na área de estudo. Pixels sem dados, saturados, com sombra, nuvem, cirrus ou neve foram excluídos.</w:t>
      </w:r>
    </w:p>
    <w:p>
      <w:pPr>
        <w:spacing w:after="120" w:line="269" w:lineRule="auto"/>
      </w:pPr>
      <w:r>
        <w:rPr>
          <w:rFonts w:ascii="Arial" w:hAnsi="Arial"/>
          <w:b w:val="0"/>
          <w:i w:val="0"/>
          <w:color w:val="000000"/>
          <w:sz w:val="22"/>
        </w:rPr>
        <w:t>O índice de vegetação pela diferença normalizada foi calculado com o vermelho B04 e o infravermelho próximo B08.</w:t>
      </w:r>
    </w:p>
    <w:p>
      <w:pPr>
        <w:spacing w:after="160"/>
        <w:jc w:val="center"/>
      </w:pPr>
      <m:oMathPara>
        <m:oMath>
          <m:r>
            <m:t>NDVI = </m:t>
          </m:r>
          <m:f>
            <m:num>
              <m:r>
                <m:t>B08 - B04</m:t>
              </m:r>
            </m:num>
            <m:den>
              <m:r>
                <m:t>B08 + B04</m:t>
              </m:r>
            </m:den>
          </m:f>
        </m:oMath>
      </m:oMathPara>
    </w:p>
    <w:p>
      <w:pPr>
        <w:spacing w:after="120" w:line="269" w:lineRule="auto"/>
      </w:pPr>
      <w:r>
        <w:rPr>
          <w:rFonts w:ascii="Arial" w:hAnsi="Arial"/>
          <w:b w:val="0"/>
          <w:i w:val="0"/>
          <w:color w:val="000000"/>
          <w:sz w:val="22"/>
        </w:rPr>
        <w:t>Em um raio de 60 m ao redor de cada ponto foram calculados média, mediana, percentil 90, fração de pixels com NDVI igual ou superior a 0,5 e validade dos pixels. O percentil 90 representa a parte mais vegetada da janela e reduz a diluição provocada pelo pavimento no centro.</w:t>
      </w:r>
    </w:p>
    <w:p>
      <w:pPr>
        <w:pStyle w:val="Heading1"/>
      </w:pPr>
      <w:r>
        <w:t>5 Regra de rotulagem</w:t>
      </w:r>
    </w:p>
    <w:p>
      <w:pPr>
        <w:spacing w:after="120" w:line="269" w:lineRule="auto"/>
      </w:pPr>
      <w:r>
        <w:rPr>
          <w:rFonts w:ascii="Arial" w:hAnsi="Arial"/>
          <w:b w:val="0"/>
          <w:i w:val="0"/>
          <w:color w:val="000000"/>
          <w:sz w:val="22"/>
        </w:rPr>
        <w:t>Como não há inspeções de campo com classes verdadeiras, foi criado um rótulo proxy de prioridade. A regra foi aplicada igualmente aos 92 pontos e não usa quantis para produzir classes balanceadas.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000000"/>
          <w:sz w:val="22"/>
        </w:rPr>
        <w:t>Alta quando o NDVI p90 de 2025 é pelo menos 0,40 ou o aumento do NDVI médio é pelo menos 0,05.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000000"/>
          <w:sz w:val="22"/>
        </w:rPr>
        <w:t>Média quando o NDVI p90 de 2025 é pelo menos 0,30 ou o aumento do NDVI médio é pelo menos 0,025.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000000"/>
          <w:sz w:val="22"/>
        </w:rPr>
        <w:t>Baixa para os demais pontos.</w:t>
      </w:r>
    </w:p>
    <w:p>
      <w:pPr>
        <w:spacing w:after="120" w:line="269" w:lineRule="auto"/>
      </w:pPr>
      <w:r>
        <w:rPr>
          <w:rFonts w:ascii="Arial" w:hAnsi="Arial"/>
          <w:b w:val="0"/>
          <w:i w:val="0"/>
          <w:color w:val="000000"/>
          <w:sz w:val="22"/>
        </w:rPr>
        <w:t>O rótulo é reproduzível e sua justificativa permanece em cada linha do dataset. Ele indica onde iniciar uma verificação, mas não informa espécie, altura, inclinação, invasão do acostamento ou risco de queda.</w:t>
      </w:r>
    </w:p>
    <w:p>
      <w:pPr>
        <w:pStyle w:val="Heading1"/>
      </w:pPr>
      <w:r>
        <w:t>6 Dataset construído</w:t>
      </w:r>
    </w:p>
    <w:p>
      <w:pPr>
        <w:spacing w:after="120" w:line="269" w:lineRule="auto"/>
      </w:pPr>
      <w:r>
        <w:rPr>
          <w:rFonts w:ascii="Arial" w:hAnsi="Arial"/>
          <w:b w:val="0"/>
          <w:i w:val="0"/>
          <w:color w:val="000000"/>
          <w:sz w:val="22"/>
        </w:rPr>
        <w:t>O dataset longo contém 184 linhas, correspondentes a 92 pontos em duas datas. Todos os pontos tiveram observações comparáveis. A fração média de pixels válidos foi 100 por cento nos recortes analisados. A base final contém uma linha por ponto, atributos dos dois anos, variação temporal, índice, classe e critério do rótulo.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3600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Arquivo</w:t>
            </w:r>
          </w:p>
        </w:tc>
        <w:tc>
          <w:tcPr>
            <w:tcW w:type="dxa" w:w="1440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Linhas</w:t>
            </w:r>
          </w:p>
        </w:tc>
        <w:tc>
          <w:tcPr>
            <w:tcW w:type="dxa" w:w="446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Conteúdo</w:t>
            </w:r>
          </w:p>
        </w:tc>
      </w:tr>
      <w:tr>
        <w:tc>
          <w:tcPr>
            <w:tcW w:type="dxa" w:w="3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observacoes_sentinel.csv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184</w:t>
            </w:r>
          </w:p>
        </w:tc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Métricas por ponto e período</w:t>
            </w:r>
          </w:p>
        </w:tc>
      </w:tr>
      <w:tr>
        <w:tc>
          <w:tcPr>
            <w:tcW w:type="dxa" w:w="3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segmentos_priorizados.csv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92</w:t>
            </w:r>
          </w:p>
        </w:tc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Comparação e prioridade por ponto</w:t>
            </w:r>
          </w:p>
        </w:tc>
      </w:tr>
      <w:tr>
        <w:tc>
          <w:tcPr>
            <w:tcW w:type="dxa" w:w="3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itens_sentinel.json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4 cenas</w:t>
            </w:r>
          </w:p>
        </w:tc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Procedência e cobertura de nuvens</w:t>
            </w:r>
          </w:p>
        </w:tc>
      </w:tr>
    </w:tbl>
    <w:p>
      <w:pPr>
        <w:spacing w:after="0"/>
      </w:pPr>
    </w:p>
    <w:p>
      <w:pPr>
        <w:pStyle w:val="Heading1"/>
      </w:pPr>
      <w:r>
        <w:t>7 Resultados</w:t>
      </w:r>
    </w:p>
    <w:p>
      <w:pPr>
        <w:spacing w:after="120" w:line="269" w:lineRule="auto"/>
      </w:pPr>
      <w:r>
        <w:rPr>
          <w:rFonts w:ascii="Arial" w:hAnsi="Arial"/>
          <w:b w:val="0"/>
          <w:i w:val="0"/>
          <w:color w:val="000000"/>
          <w:sz w:val="22"/>
        </w:rPr>
        <w:t>O NDVI médio geral foi 0,1504 em 2024 e 0,1440 em 2025. A variação média foi -0,0064 e a mediana -0,0046. Portanto, as duas observações não indicam aumento generalizado da vegetação no trecho. Essa pequena diferença também pode refletir umidade, iluminação, atmosfera e fenologia.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374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Prioridade</w:t>
            </w:r>
          </w:p>
        </w:tc>
        <w:tc>
          <w:tcPr>
            <w:tcW w:type="dxa" w:w="259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Pontos</w:t>
            </w:r>
          </w:p>
        </w:tc>
        <w:tc>
          <w:tcPr>
            <w:tcW w:type="dxa" w:w="316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Percentual</w:t>
            </w:r>
          </w:p>
        </w:tc>
      </w:tr>
      <w:tr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Baixa</w:t>
            </w:r>
          </w:p>
        </w:tc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65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70,7</w:t>
            </w:r>
          </w:p>
        </w:tc>
      </w:tr>
      <w:tr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Média</w:t>
            </w:r>
          </w:p>
        </w:tc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23,9</w:t>
            </w:r>
          </w:p>
        </w:tc>
      </w:tr>
      <w:tr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Alta</w:t>
            </w:r>
          </w:p>
        </w:tc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5,4</w:t>
            </w:r>
          </w:p>
        </w:tc>
      </w:tr>
    </w:tbl>
    <w:p>
      <w:pPr>
        <w:spacing w:after="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4354830"/>
            <wp:docPr id="1" name="Picture 1" title="Figura 1 Distribuição dos pontos por prioridade de inspeção" descr="Figura 1 Distribuição dos pontos por prioridade de inspeçã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ribuicao_prioridad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354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000000"/>
          <w:sz w:val="18"/>
        </w:rPr>
        <w:t>Figura 1 Distribuição dos pontos por prioridade de inspeção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4354830"/>
            <wp:docPr id="2" name="Picture 2" title="Figura 2 Comparação do NDVI médio por ponto em 2024 e 2025" descr="Figura 2 Comparação do NDVI médio por ponto em 2024 e 20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acao_ndv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354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000000"/>
          <w:sz w:val="18"/>
        </w:rPr>
        <w:t>Figura 2 Comparação do NDVI médio por ponto em 2024 e 2025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4354830"/>
            <wp:docPr id="3" name="Picture 3" title="Figura 3 Distribuição da variação temporal do NDVI médio" descr="Figura 3 Distribuição da variação temporal do NDVI médi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riacao_ndv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354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000000"/>
          <w:sz w:val="18"/>
        </w:rPr>
        <w:t>Figura 3 Distribuição da variação temporal do NDVI médio</w:t>
      </w:r>
    </w:p>
    <w:p>
      <w:pPr>
        <w:pStyle w:val="Heading1"/>
      </w:pPr>
      <w:r>
        <w:t>8 Pontos prioritários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608"/>
        <w:gridCol w:w="1608"/>
        <w:gridCol w:w="1608"/>
        <w:gridCol w:w="1608"/>
        <w:gridCol w:w="1608"/>
        <w:gridCol w:w="1608"/>
      </w:tblGrid>
      <w:tr>
        <w:trPr>
          <w:tblHeader w:val="true"/>
        </w:trPr>
        <w:tc>
          <w:tcPr>
            <w:tcW w:type="dxa" w:w="100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Ponto</w:t>
            </w:r>
          </w:p>
        </w:tc>
        <w:tc>
          <w:tcPr>
            <w:tcW w:type="dxa" w:w="1800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Longitude</w:t>
            </w:r>
          </w:p>
        </w:tc>
        <w:tc>
          <w:tcPr>
            <w:tcW w:type="dxa" w:w="1800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Latitude</w:t>
            </w:r>
          </w:p>
        </w:tc>
        <w:tc>
          <w:tcPr>
            <w:tcW w:type="dxa" w:w="1440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NDVI p90</w:t>
            </w:r>
          </w:p>
        </w:tc>
        <w:tc>
          <w:tcPr>
            <w:tcW w:type="dxa" w:w="1440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Variação</w:t>
            </w:r>
          </w:p>
        </w:tc>
        <w:tc>
          <w:tcPr>
            <w:tcW w:type="dxa" w:w="1800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Motivo</w:t>
            </w:r>
          </w:p>
        </w:tc>
      </w:tr>
      <w:tr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P070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-45.792953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-23.155950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0.456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0.010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Presença</w:t>
            </w:r>
          </w:p>
        </w:tc>
      </w:tr>
      <w:tr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P088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-45.757602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-23.138151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0.445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0.009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Presença</w:t>
            </w:r>
          </w:p>
        </w:tc>
      </w:tr>
      <w:tr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P057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-45.829930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-23.174504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0.384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0.051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Aumento</w:t>
            </w:r>
          </w:p>
        </w:tc>
      </w:tr>
      <w:tr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P087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-45.759290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-23.138829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0.404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0.004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Presença</w:t>
            </w:r>
          </w:p>
        </w:tc>
      </w:tr>
      <w:tr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P035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-45.878462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-23.199611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0.407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-0.001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Presença</w:t>
            </w:r>
          </w:p>
        </w:tc>
      </w:tr>
    </w:tbl>
    <w:p>
      <w:pPr>
        <w:spacing w:after="0"/>
      </w:pPr>
    </w:p>
    <w:p>
      <w:pPr>
        <w:spacing w:after="120" w:line="269" w:lineRule="auto"/>
      </w:pPr>
      <w:r>
        <w:rPr>
          <w:rFonts w:ascii="Arial" w:hAnsi="Arial"/>
          <w:b w:val="0"/>
          <w:i w:val="0"/>
          <w:color w:val="000000"/>
          <w:sz w:val="22"/>
        </w:rPr>
        <w:t>Os pontos P070, P088, P087 e P035 foram classificados principalmente pela presença atual. O P057 foi classificado pelo aumento de 0,0508 no NDVI médio. Esses locais são candidatos para a primeira inspeção e não ocorrências confirmadas.</w:t>
      </w:r>
    </w:p>
    <w:p>
      <w:pPr>
        <w:pStyle w:val="Heading1"/>
      </w:pPr>
      <w:r>
        <w:t>9 Avaliação e limitações</w:t>
      </w:r>
    </w:p>
    <w:p>
      <w:pPr>
        <w:spacing w:after="120" w:line="269" w:lineRule="auto"/>
      </w:pPr>
      <w:r>
        <w:rPr>
          <w:rFonts w:ascii="Arial" w:hAnsi="Arial"/>
          <w:b w:val="0"/>
          <w:i w:val="0"/>
          <w:color w:val="000000"/>
          <w:sz w:val="22"/>
        </w:rPr>
        <w:t>Não foi treinado um modelo supervisionado porque não existem rótulos independentes de campo. Treinar e medir um classificador contra classes derivadas dos mesmos atributos produziria uma avaliação circular. A prova de conceito foi avaliada pela completude, validade dos pixels, distribuição das classes, rastreabilidade e reprodução integral do resultado.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000000"/>
          <w:sz w:val="22"/>
        </w:rPr>
        <w:t>A resolução de 10 m não mostra galhos, placas ou invasão do acostamento.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000000"/>
          <w:sz w:val="22"/>
        </w:rPr>
        <w:t>A janela de 60 m combina pista, vegetação, edificações e terrenos vizinhos.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000000"/>
          <w:sz w:val="22"/>
        </w:rPr>
        <w:t>Duas datas não caracterizam uma tendência de crescimento.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000000"/>
          <w:sz w:val="22"/>
        </w:rPr>
        <w:t>As datas diferem em dez dias e ainda podem refletir condições ambientais distintas.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000000"/>
          <w:sz w:val="22"/>
        </w:rPr>
        <w:t>Pistas paralelas podem gerar pontos com áreas de influência semelhantes.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000000"/>
          <w:sz w:val="22"/>
        </w:rPr>
        <w:t>O rótulo proxy não foi validado por especialista ou inspeção de campo.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000000"/>
          <w:sz w:val="22"/>
        </w:rPr>
        <w:t>A classe alta é pequena e esse desbalanceamento real não foi corrigido.</w:t>
      </w:r>
    </w:p>
    <w:p>
      <w:pPr>
        <w:pStyle w:val="Heading1"/>
      </w:pPr>
      <w:r>
        <w:t>10 Evolução da solução</w:t>
      </w:r>
    </w:p>
    <w:p>
      <w:pPr>
        <w:spacing w:after="120" w:line="269" w:lineRule="auto"/>
      </w:pPr>
      <w:r>
        <w:rPr>
          <w:rFonts w:ascii="Arial" w:hAnsi="Arial"/>
          <w:b w:val="0"/>
          <w:i w:val="0"/>
          <w:color w:val="000000"/>
          <w:sz w:val="22"/>
        </w:rPr>
        <w:t>Uma aplicação operacional deve integrar fotografias recorrentes, inspeções de campo, histórico de poda e queda, dados meteorológicos e uma série temporal maior. O retorno das equipes de conservação deve gerar rótulos independentes. Somente então será adequado treinar e avaliar um modelo supervisionado.</w:t>
      </w:r>
    </w:p>
    <w:p>
      <w:pPr>
        <w:spacing w:after="120" w:line="269" w:lineRule="auto"/>
      </w:pPr>
      <w:r>
        <w:rPr>
          <w:rFonts w:ascii="Arial" w:hAnsi="Arial"/>
          <w:b w:val="0"/>
          <w:i w:val="0"/>
          <w:color w:val="000000"/>
          <w:sz w:val="22"/>
        </w:rPr>
        <w:t>A coleta pode ser mensal na estação de maior crescimento, trimestral nos demais períodos e extraordinária após tempestades ou ventos severos. Os resultados devem alimentar um painel geográfico e permanecer sujeitos à decisão humana.</w:t>
      </w:r>
    </w:p>
    <w:p>
      <w:pPr>
        <w:pStyle w:val="Heading1"/>
      </w:pPr>
      <w:r>
        <w:t>11 Conclusão</w:t>
      </w:r>
    </w:p>
    <w:p>
      <w:pPr>
        <w:spacing w:after="120" w:line="269" w:lineRule="auto"/>
      </w:pPr>
      <w:r>
        <w:rPr>
          <w:rFonts w:ascii="Arial" w:hAnsi="Arial"/>
          <w:b w:val="0"/>
          <w:i w:val="0"/>
          <w:color w:val="000000"/>
          <w:sz w:val="22"/>
        </w:rPr>
        <w:t>A prova de conceito demonstrou que fontes públicas podem sustentar um pipeline automatizado para organizar inspeções de vegetação. Foram construídas 184 observações, 92 pontos comparáveis e cinco candidatos de alta prioridade. O trabalho atende ao objetivo de demonstrar coleta, preparação, rotulagem, análise e evolução em escala, mas confirma que dados de satélite isolados não diagnosticam risco. O próximo passo é validar os candidatos em campo.</w:t>
      </w:r>
    </w:p>
    <w:p>
      <w:pPr>
        <w:pStyle w:val="Heading1"/>
      </w:pPr>
      <w:r>
        <w:t>Referências</w:t>
      </w:r>
    </w:p>
    <w:p>
      <w:pPr>
        <w:spacing w:after="120"/>
        <w:ind w:left="360" w:hanging="360"/>
      </w:pPr>
      <w:r>
        <w:rPr>
          <w:rFonts w:ascii="Arial" w:hAnsi="Arial"/>
          <w:b w:val="0"/>
          <w:i w:val="0"/>
          <w:color w:val="000000"/>
          <w:sz w:val="20"/>
        </w:rPr>
        <w:t>EUROPEAN SPACE AGENCY. Sentinel-2 Facts and Figures. Disponível em https://www.esa.int/Applications/Observing_the_Earth/Copernicus/Sentinel-2/Facts_and_figures. Acesso em setembro de 2026.</w:t>
      </w:r>
    </w:p>
    <w:p>
      <w:pPr>
        <w:spacing w:after="120"/>
        <w:ind w:left="360" w:hanging="360"/>
      </w:pPr>
      <w:r>
        <w:rPr>
          <w:rFonts w:ascii="Arial" w:hAnsi="Arial"/>
          <w:b w:val="0"/>
          <w:i w:val="0"/>
          <w:color w:val="000000"/>
          <w:sz w:val="20"/>
        </w:rPr>
        <w:t>MICROSOFT. Planetary Computer STAC API. Disponível em https://planetarycomputer.microsoft.com/docs/reference/stac/. Acesso em setembro de 2026.</w:t>
      </w:r>
    </w:p>
    <w:p>
      <w:pPr>
        <w:spacing w:after="120"/>
        <w:ind w:left="360" w:hanging="360"/>
      </w:pPr>
      <w:r>
        <w:rPr>
          <w:rFonts w:ascii="Arial" w:hAnsi="Arial"/>
          <w:b w:val="0"/>
          <w:i w:val="0"/>
          <w:color w:val="000000"/>
          <w:sz w:val="20"/>
        </w:rPr>
        <w:t>OPENSTREETMAP CONTRIBUTORS. OpenStreetMap data and copyright. Disponível em https://www.openstreetmap.org/copyright. Acesso em setembro de 2026.</w:t>
      </w:r>
    </w:p>
    <w:p>
      <w:pPr>
        <w:spacing w:after="120"/>
        <w:ind w:left="360" w:hanging="360"/>
      </w:pPr>
      <w:r>
        <w:rPr>
          <w:rFonts w:ascii="Arial" w:hAnsi="Arial"/>
          <w:b w:val="0"/>
          <w:i w:val="0"/>
          <w:color w:val="000000"/>
          <w:sz w:val="20"/>
        </w:rPr>
        <w:t>DNIT. Plano Nacional de Viação e Sistema Nacional de Viação. Disponível em https://www.gov.br/dnit/pt-br/assuntos/atlas-e-mapas/pnv-e-snv. Acesso em setembro de 2026.</w:t>
      </w:r>
    </w:p>
    <w:p>
      <w:pPr>
        <w:spacing w:after="120"/>
        <w:ind w:left="360" w:hanging="360"/>
      </w:pPr>
      <w:r>
        <w:rPr>
          <w:rFonts w:ascii="Arial" w:hAnsi="Arial"/>
          <w:b w:val="0"/>
          <w:i w:val="0"/>
          <w:color w:val="000000"/>
          <w:sz w:val="20"/>
        </w:rPr>
        <w:t>MOTIVA. CCR RioSP Via Dutra e Rio-Santos. Disponível em https://rodovias.motiva.com.br/riosp/sobre/sobre-riosp/. Acesso em setembro de 2026.</w:t>
      </w:r>
    </w:p>
    <w:sectPr w:rsidR="00FC693F" w:rsidRPr="0006063C" w:rsidSect="00034616">
      <w:footerReference w:type="default" r:id="rId9"/>
      <w:pgSz w:w="12240" w:h="15840"/>
      <w:pgMar w:top="1152" w:right="1296" w:bottom="1080" w:left="1296" w:header="504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 w:val="0"/>
        <w:i w:val="0"/>
        <w:color w:val="5A5A5A"/>
        <w:sz w:val="18"/>
      </w:rPr>
      <w:t xml:space="preserve">Página </w:t>
    </w:r>
    <w:r>
      <w:rPr>
        <w:rFonts w:ascii="Arial" w:hAnsi="Arial"/>
        <w:b w:val="0"/>
        <w:i w:val="0"/>
        <w:color w:val="5A5A5A"/>
        <w:sz w:val="18"/>
      </w:rPr>
      <w:fldChar w:fldCharType="begin"/>
    </w:r>
    <w:r>
      <w:rPr>
        <w:rFonts w:ascii="Arial" w:hAnsi="Arial"/>
        <w:b w:val="0"/>
        <w:i w:val="0"/>
        <w:color w:val="5A5A5A"/>
        <w:sz w:val="18"/>
      </w:rPr>
      <w:instrText xml:space="preserve"> PAGE </w:instrText>
    </w:r>
    <w:r>
      <w:rPr>
        <w:rFonts w:ascii="Arial" w:hAnsi="Arial"/>
        <w:b w:val="0"/>
        <w:i w:val="0"/>
        <w:color w:val="5A5A5A"/>
        <w:sz w:val="18"/>
      </w:rPr>
      <w:fldChar w:fldCharType="separate"/>
    </w:r>
    <w:r>
      <w:rPr>
        <w:rFonts w:ascii="Arial" w:hAnsi="Arial"/>
        <w:b w:val="0"/>
        <w:i w:val="0"/>
        <w:color w:val="5A5A5A"/>
        <w:sz w:val="18"/>
      </w:rPr>
      <w:t>1</w:t>
    </w:r>
    <w:r>
      <w:rPr>
        <w:rFonts w:ascii="Arial" w:hAnsi="Arial"/>
        <w:b w:val="0"/>
        <w:i w:val="0"/>
        <w:color w:val="5A5A5A"/>
        <w:sz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Priorização de inspeções de vegetação na Via Dutra</dc:title>
  <dc:subject>Prova de conceito de Ciência de Dados com Sentinel 2</dc:subject>
  <dc:creator>Turma 2CCPG</dc:creator>
  <cp:keywords>Sentinel-2, NDVI, rodovias, vegetação, Ciência de Dados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