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00"/>
      </w:pPr>
    </w:p>
    <w:p>
      <w:pPr>
        <w:pStyle w:val="Title"/>
        <w:spacing w:after="360"/>
        <w:jc w:val="center"/>
      </w:pPr>
      <w:r>
        <w:rPr>
          <w:rFonts w:ascii="Arial" w:hAnsi="Arial"/>
          <w:b/>
          <w:i w:val="0"/>
          <w:color w:val="000000"/>
          <w:sz w:val="46"/>
        </w:rPr>
        <w:t>Priorização de inspeções de vegetação na Via Dutra</w:t>
      </w:r>
    </w:p>
    <w:p>
      <w:pPr>
        <w:spacing w:after="440"/>
        <w:jc w:val="center"/>
      </w:pPr>
      <w:r>
        <w:rPr>
          <w:rFonts w:ascii="Arial" w:hAnsi="Arial"/>
          <w:b w:val="0"/>
          <w:i w:val="0"/>
          <w:color w:val="000000"/>
          <w:sz w:val="28"/>
        </w:rPr>
        <w:t>Prova de conceito de Ciência de Dados com Sentinel 2</w:t>
      </w:r>
    </w:p>
    <w:p>
      <w:pPr>
        <w:jc w:val="center"/>
      </w:pPr>
      <w:r>
        <w:rPr>
          <w:rFonts w:ascii="Arial" w:hAnsi="Arial"/>
          <w:b/>
          <w:i w:val="0"/>
          <w:color w:val="000000"/>
          <w:sz w:val="24"/>
        </w:rPr>
        <w:t>BR 116 entre Jacareí e São José dos Campos</w:t>
      </w:r>
    </w:p>
    <w:p>
      <w:pPr>
        <w:spacing w:after="240"/>
        <w:jc w:val="center"/>
      </w:pPr>
      <w:r>
        <w:rPr>
          <w:rFonts w:ascii="Arial" w:hAnsi="Arial"/>
          <w:b w:val="0"/>
          <w:i w:val="0"/>
          <w:color w:val="000000"/>
          <w:sz w:val="22"/>
        </w:rPr>
        <w:t>CCR RioSP Motiva</w:t>
      </w:r>
    </w:p>
    <w:p>
      <w:pPr>
        <w:spacing w:after="100"/>
        <w:jc w:val="center"/>
      </w:pPr>
      <w:r>
        <w:rPr>
          <w:rFonts w:ascii="Arial" w:hAnsi="Arial"/>
          <w:b/>
          <w:i w:val="0"/>
          <w:color w:val="000000"/>
          <w:sz w:val="22"/>
        </w:rPr>
        <w:t>Integrantes da turma 2CCPG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000000"/>
          <w:sz w:val="19"/>
        </w:rPr>
        <w:t>Pedro Henrique dos Santos Cardoso - RM 563268 - 2CCPG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000000"/>
          <w:sz w:val="19"/>
        </w:rPr>
        <w:t>Gabriel Gibin Leoncio - RM 565462 - 2CCPG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000000"/>
          <w:sz w:val="19"/>
        </w:rPr>
        <w:t>Rafael do Nascimento Silva - RM 566263 - 2CCPG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000000"/>
          <w:sz w:val="19"/>
        </w:rPr>
        <w:t>Rai Augusto Ribeiro - RM 562870 - 2CCPG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000000"/>
          <w:sz w:val="19"/>
        </w:rPr>
        <w:t>Guilherme Morais de Assis - RM 564198 - 2CCPG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000000"/>
          <w:sz w:val="19"/>
        </w:rPr>
        <w:t>Lucas Werpp Franco - RM 556044 - 2CCPG</w:t>
      </w:r>
    </w:p>
    <w:p>
      <w:pPr>
        <w:spacing w:after="760"/>
      </w:pP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2"/>
        </w:rPr>
        <w:t>Setembro de 2026</w:t>
      </w:r>
    </w:p>
    <w:p>
      <w:r>
        <w:br w:type="page"/>
      </w:r>
    </w:p>
    <w:p>
      <w:pPr>
        <w:pStyle w:val="Heading1"/>
      </w:pPr>
      <w:r>
        <w:t>Resumo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Este trabalho apresenta uma prova de conceito para priorizar inspeções de vegetação na BR-116 entre Jacareí e São José dos Campos. O pipeline combina o traçado público da rodovia com cenas Sentinel-2 L2A de agosto de 2024 e agosto de 2025. Foram construídas 184 observações reais em 92 pontos, classificadas por uma regra proxy explicável. O resultado indica 65 pontos de prioridade baixa, 22 média e 5 alta. As classes organizam a inspeção e não constituem laudo de risco.</w:t>
      </w:r>
    </w:p>
    <w:p>
      <w:pPr>
        <w:pStyle w:val="Heading2"/>
      </w:pPr>
      <w:r>
        <w:t>Principais resultados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Indicador</w:t>
            </w:r>
          </w:p>
        </w:tc>
        <w:tc>
          <w:tcPr>
            <w:tcW w:type="dxa" w:w="460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Observações tabulares reais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184</w:t>
            </w:r>
          </w:p>
        </w:tc>
      </w:tr>
      <w:tr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Pontos comparáveis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92</w:t>
            </w:r>
          </w:p>
        </w:tc>
      </w:tr>
      <w:tr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Períodos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Agosto de 2024 e agosto de 2025</w:t>
            </w:r>
          </w:p>
        </w:tc>
      </w:tr>
      <w:tr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Prioridade baixa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65 pontos 70,7 por cento</w:t>
            </w:r>
          </w:p>
        </w:tc>
      </w:tr>
      <w:tr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Prioridade média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22 pontos 23,9 por cento</w:t>
            </w:r>
          </w:p>
        </w:tc>
      </w:tr>
      <w:tr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Prioridade alta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5 pontos 5,4 por cento</w:t>
            </w:r>
          </w:p>
        </w:tc>
      </w:tr>
      <w:tr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Variação média do NDVI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-0,0064</w:t>
            </w:r>
          </w:p>
        </w:tc>
      </w:tr>
    </w:tbl>
    <w:p>
      <w:pPr>
        <w:spacing w:after="0"/>
      </w:pPr>
    </w:p>
    <w:p>
      <w:pPr>
        <w:spacing w:after="120" w:line="269" w:lineRule="auto"/>
      </w:pPr>
      <w:r>
        <w:rPr>
          <w:rFonts w:ascii="Arial" w:hAnsi="Arial"/>
          <w:b/>
          <w:i w:val="0"/>
          <w:color w:val="000000"/>
          <w:sz w:val="22"/>
        </w:rPr>
        <w:t>Conclusão principal:</w:t>
      </w:r>
      <w:r>
        <w:rPr>
          <w:rFonts w:ascii="Arial" w:hAnsi="Arial"/>
          <w:b w:val="0"/>
          <w:i w:val="0"/>
          <w:color w:val="000000"/>
          <w:sz w:val="22"/>
        </w:rPr>
        <w:t xml:space="preserve"> o processo automatizado consegue gerar uma fila inicial de inspeção com dados públicos reais. A resolução espacial e a ausência de validação em campo impedem interpretar essa fila como diagnóstico de segurança.</w:t>
      </w:r>
    </w:p>
    <w:p>
      <w:pPr>
        <w:pStyle w:val="Heading1"/>
      </w:pPr>
      <w:r>
        <w:t>1 Introdução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A gestão da vegetação ao longo de rodovias exige acompanhamento contínuo para planejar inspeções e intervenções. Como o desafio não prevê uma campanha própria de coleta em campo, foram usadas fontes públicas e APIs. Além do resultado, o trabalho registra as decisões metodológicas, a qualidade dos dados e as limitações.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projeto segue o caminho tabular previsto no enunciado: fonte pública, coleta, tratamento, análise exploratória e engenharia de atributos. A combinação de dados geográficos com duas datas de satélite permite avaliar presença e variação do sinal de vegetação sem criar observações artificiais.</w:t>
      </w:r>
    </w:p>
    <w:p>
      <w:pPr>
        <w:pStyle w:val="Heading1"/>
      </w:pPr>
      <w:r>
        <w:t>2 Pergunta e objetivos</w:t>
      </w:r>
    </w:p>
    <w:p>
      <w:pPr>
        <w:spacing w:after="120" w:line="269" w:lineRule="auto"/>
      </w:pPr>
      <w:r>
        <w:rPr>
          <w:rFonts w:ascii="Arial" w:hAnsi="Arial"/>
          <w:b/>
          <w:i w:val="0"/>
          <w:color w:val="000000"/>
          <w:sz w:val="22"/>
        </w:rPr>
        <w:t>Pergunta de Ciência de Dados:</w:t>
      </w:r>
      <w:r>
        <w:rPr>
          <w:rFonts w:ascii="Arial" w:hAnsi="Arial"/>
          <w:b w:val="0"/>
          <w:i w:val="0"/>
          <w:color w:val="000000"/>
          <w:sz w:val="22"/>
        </w:rPr>
        <w:t xml:space="preserve"> quais pontos da BR-116 apresentam maior presença ou aumento de vegetação no entorno imediato e devem ser priorizados para inspeção?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objetivo foi construir um pipeline capaz de obter cenas reais, preparar dados, calcular indicadores de vegetação, criar rótulos explicáveis e apresentar os resultados em tabela, gráficos e mapa.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Obter e documentar fontes públicas da rodovia e das imagens de satélite.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Gerar pontos espacialmente distribuídos nas pistas principais.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Calcular NDVI e atributos de qualidade em períodos comparáveis.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Criar uma prioridade reproduzível e discutir seus limites de uso.</w:t>
      </w:r>
    </w:p>
    <w:p>
      <w:pPr>
        <w:pStyle w:val="Heading1"/>
      </w:pPr>
      <w:r>
        <w:t>3 Fontes de dados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eixo auxiliar da BR-116 foi obtido do OpenStreetMap por consulta automatizada ao Overpass. O Sistema Nacional de Viação do DNIT serviu como referência institucional. O trecho faz parte da Via Dutra administrada pela CCR RioSP, empresa Motiva.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As imagens Sentinel-2 L2A foram consultadas na API STAC do Microsoft Planetary Computer. O Sentinel-2 possui bandas visíveis e de infravermelho próximo com resolução de 10 m, adequadas ao cálculo do NDVI. A API e os ativos usados não exigiram serviço pago.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432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Data</w:t>
            </w:r>
          </w:p>
        </w:tc>
        <w:tc>
          <w:tcPr>
            <w:tcW w:type="dxa" w:w="187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Tile</w:t>
            </w:r>
          </w:p>
        </w:tc>
        <w:tc>
          <w:tcPr>
            <w:tcW w:type="dxa" w:w="331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Cobertura de nuvens</w:t>
            </w:r>
          </w:p>
        </w:tc>
      </w:tr>
      <w:tr>
        <w:tc>
          <w:tcPr>
            <w:tcW w:type="dxa" w:w="43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23 de agosto de 2024</w:t>
            </w:r>
          </w:p>
        </w:tc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23KLQ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0,002 por cento</w:t>
            </w:r>
          </w:p>
        </w:tc>
      </w:tr>
      <w:tr>
        <w:tc>
          <w:tcPr>
            <w:tcW w:type="dxa" w:w="43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23 de agosto de 2024</w:t>
            </w:r>
          </w:p>
        </w:tc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23KMQ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0,003 por cento</w:t>
            </w:r>
          </w:p>
        </w:tc>
      </w:tr>
      <w:tr>
        <w:tc>
          <w:tcPr>
            <w:tcW w:type="dxa" w:w="43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13 de agosto de 2025</w:t>
            </w:r>
          </w:p>
        </w:tc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23KLQ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0,015 por cento</w:t>
            </w:r>
          </w:p>
        </w:tc>
      </w:tr>
      <w:tr>
        <w:tc>
          <w:tcPr>
            <w:tcW w:type="dxa" w:w="43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13 de agosto de 2025</w:t>
            </w:r>
          </w:p>
        </w:tc>
        <w:tc>
          <w:tcPr>
            <w:tcW w:type="dxa" w:w="18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23KMQ</w:t>
            </w:r>
          </w:p>
        </w:tc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1,887 por cento</w:t>
            </w:r>
          </w:p>
        </w:tc>
      </w:tr>
    </w:tbl>
    <w:p>
      <w:pPr>
        <w:spacing w:after="0"/>
      </w:pPr>
    </w:p>
    <w:p>
      <w:pPr>
        <w:pStyle w:val="Heading1"/>
      </w:pPr>
      <w:r>
        <w:t>4 Método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traçado foi filtrado pelas pistas classificadas como motorway. O algoritmo selecionou 92 pontos com distância mínima aproximada de 150 m. Para cada data, foram lidas as bandas B04, B08 e a classificação da cena SCL apenas na área de estudo. Pixels sem dados, saturados, com sombra, nuvem, cirrus ou neve foram excluídos.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índice de vegetação pela diferença normalizada foi calculado com o vermelho B04 e o infravermelho próximo B08.</w:t>
      </w:r>
    </w:p>
    <w:p>
      <w:pPr>
        <w:spacing w:after="160"/>
        <w:jc w:val="center"/>
      </w:pPr>
      <m:oMathPara>
        <m:oMath>
          <m:r>
            <m:t>NDVI = </m:t>
          </m:r>
          <m:f>
            <m:num>
              <m:r>
                <m:t>B08 - B04</m:t>
              </m:r>
            </m:num>
            <m:den>
              <m:r>
                <m:t>B08 + B04</m:t>
              </m:r>
            </m:den>
          </m:f>
        </m:oMath>
      </m:oMathPara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Em um raio de 60 m ao redor de cada ponto foram calculados média, mediana, percentil 90, fração de pixels com NDVI igual ou superior a 0,5 e validade dos pixels. O percentil 90 representa a parte mais vegetada da janela e reduz a diluição provocada pelo pavimento no centro.</w:t>
      </w:r>
    </w:p>
    <w:p>
      <w:pPr>
        <w:pStyle w:val="Heading1"/>
      </w:pPr>
      <w:r>
        <w:t>5 Regra de rotulagem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Como não há inspeções de campo com classes verdadeiras, foi criado um rótulo proxy de prioridade. A regra foi aplicada igualmente aos 92 pontos e não usa quantis para produzir classes balanceadas.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Alta quando o NDVI p90 de 2025 é pelo menos 0,40 ou o aumento do NDVI médio é pelo menos 0,05.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Média quando o NDVI p90 de 2025 é pelo menos 0,30 ou o aumento do NDVI médio é pelo menos 0,025.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Baixa para os demais pontos.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rótulo é reproduzível e sua justificativa permanece em cada linha do dataset. Ele indica onde iniciar uma verificação, mas não informa espécie, altura, inclinação, invasão do acostamento ou risco de queda.</w:t>
      </w:r>
    </w:p>
    <w:p>
      <w:pPr>
        <w:pStyle w:val="Heading1"/>
      </w:pPr>
      <w:r>
        <w:t>6 Dataset construído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dataset longo contém 184 linhas, correspondentes a 92 pontos em duas datas. Todos os pontos tiveram observações comparáveis. A fração média de pixels válidos foi 100 por cento nos recortes analisados. A base final contém uma linha por ponto, atributos dos dois anos, variação temporal, índice, classe e critério do rótulo.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60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Arquivo</w:t>
            </w:r>
          </w:p>
        </w:tc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Linhas</w:t>
            </w:r>
          </w:p>
        </w:tc>
        <w:tc>
          <w:tcPr>
            <w:tcW w:type="dxa" w:w="446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3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observacoes_sentinel.csv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184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Métricas por ponto e período</w:t>
            </w:r>
          </w:p>
        </w:tc>
      </w:tr>
      <w:tr>
        <w:tc>
          <w:tcPr>
            <w:tcW w:type="dxa" w:w="3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segmentos_priorizados.csv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92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Comparação e prioridade por ponto</w:t>
            </w:r>
          </w:p>
        </w:tc>
      </w:tr>
      <w:tr>
        <w:tc>
          <w:tcPr>
            <w:tcW w:type="dxa" w:w="3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itens_sentinel.json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4 cenas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Procedência e cobertura de nuvens</w:t>
            </w:r>
          </w:p>
        </w:tc>
      </w:tr>
    </w:tbl>
    <w:p>
      <w:pPr>
        <w:spacing w:after="0"/>
      </w:pPr>
    </w:p>
    <w:p>
      <w:pPr>
        <w:pStyle w:val="Heading1"/>
      </w:pPr>
      <w:r>
        <w:t>7 Resultados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 NDVI médio geral foi 0,1504 em 2024 e 0,1440 em 2025. A variação média foi -0,0064 e a mediana -0,0046. Portanto, as duas observações não indicam aumento generalizado da vegetação no trecho. Essa pequena diferença também pode refletir umidade, iluminação, atmosfera e fenologia.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74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259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Pontos</w:t>
            </w:r>
          </w:p>
        </w:tc>
        <w:tc>
          <w:tcPr>
            <w:tcW w:type="dxa" w:w="316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Percentual</w:t>
            </w:r>
          </w:p>
        </w:tc>
      </w:tr>
      <w:t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Baixa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70,7</w:t>
            </w:r>
          </w:p>
        </w:tc>
      </w:tr>
      <w:t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Média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23,9</w:t>
            </w:r>
          </w:p>
        </w:tc>
      </w:tr>
      <w:tr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Alta</w:t>
            </w:r>
          </w:p>
        </w:tc>
        <w:tc>
          <w:tcPr>
            <w:tcW w:type="dxa" w:w="259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5,4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354830"/>
            <wp:docPr id="1" name="Picture 1" title="Figura 1 Distribuição dos pontos por prioridade de inspeção" descr="Figura 1 Distribuição dos pontos por prioridade de inspe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icao_priorid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000000"/>
          <w:sz w:val="18"/>
        </w:rPr>
        <w:t>Figura 1 Distribuição dos pontos por prioridade de inspeção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354830"/>
            <wp:docPr id="2" name="Picture 2" title="Figura 2 Comparação do NDVI médio por ponto em 2024 e 2025" descr="Figura 2 Comparação do NDVI médio por ponto em 2024 e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ndv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000000"/>
          <w:sz w:val="18"/>
        </w:rPr>
        <w:t>Figura 2 Comparação do NDVI médio por ponto em 2024 e 2025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354830"/>
            <wp:docPr id="3" name="Picture 3" title="Figura 3 Distribuição da variação temporal do NDVI médio" descr="Figura 3 Distribuição da variação temporal do NDVI méd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cao_ndv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i/>
          <w:color w:val="000000"/>
          <w:sz w:val="18"/>
        </w:rPr>
        <w:t>Figura 3 Distribuição da variação temporal do NDVI médio</w:t>
      </w:r>
    </w:p>
    <w:p>
      <w:pPr>
        <w:pStyle w:val="Heading1"/>
      </w:pPr>
      <w:r>
        <w:t>8 Pontos prioritários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tblHeader w:val="true"/>
        </w:trPr>
        <w:tc>
          <w:tcPr>
            <w:tcW w:type="dxa" w:w="100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Ponto</w:t>
            </w:r>
          </w:p>
        </w:tc>
        <w:tc>
          <w:tcPr>
            <w:tcW w:type="dxa" w:w="180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Longitude</w:t>
            </w:r>
          </w:p>
        </w:tc>
        <w:tc>
          <w:tcPr>
            <w:tcW w:type="dxa" w:w="180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Latitude</w:t>
            </w:r>
          </w:p>
        </w:tc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NDVI p90</w:t>
            </w:r>
          </w:p>
        </w:tc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Variação</w:t>
            </w:r>
          </w:p>
        </w:tc>
        <w:tc>
          <w:tcPr>
            <w:tcW w:type="dxa" w:w="180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P070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-45.792953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-23.155950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0.456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0.010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Presença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P088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-45.757602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-23.138151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0.445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0.009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Presença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P057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-45.829930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-23.174504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0.384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0.051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Aumento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P087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-45.759290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-23.138829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0.404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0.004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Presença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P035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-45.878462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-23.199611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0.407</w:t>
            </w:r>
          </w:p>
        </w:tc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-0.001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Presença</w:t>
            </w:r>
          </w:p>
        </w:tc>
      </w:tr>
    </w:tbl>
    <w:p>
      <w:pPr>
        <w:spacing w:after="0"/>
      </w:pP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Os pontos P070, P088, P087 e P035 foram classificados principalmente pela presença atual. O P057 foi classificado pelo aumento de 0,0508 no NDVI médio. Esses locais são candidatos para a primeira inspeção e não ocorrências confirmadas.</w:t>
      </w:r>
    </w:p>
    <w:p>
      <w:pPr>
        <w:pStyle w:val="Heading1"/>
      </w:pPr>
      <w:r>
        <w:t>9 Avaliação e limitações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Não foi treinado um modelo supervisionado porque não existem rótulos independentes de campo. Treinar e medir um classificador contra classes derivadas dos mesmos atributos produziria uma avaliação circular. A prova de conceito foi avaliada pela completude, validade dos pixels, distribuição das classes, rastreabilidade e reprodução integral do resultado.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A resolução de 10 m não mostra galhos, placas ou invasão do acostamento.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A janela de 60 m combina pista, vegetação, edificações e terrenos vizinhos.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Duas datas não caracterizam uma tendência de crescimento.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As datas diferem em dez dias e ainda podem refletir condições ambientais distintas.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Pistas paralelas podem gerar pontos com áreas de influência semelhantes.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O rótulo proxy não foi validado por especialista ou inspeção de campo.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000000"/>
          <w:sz w:val="22"/>
        </w:rPr>
        <w:t>A classe alta é pequena e esse desbalanceamento real não foi corrigido.</w:t>
      </w:r>
    </w:p>
    <w:p>
      <w:pPr>
        <w:pStyle w:val="Heading1"/>
      </w:pPr>
      <w:r>
        <w:t>10 Evolução da solução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Uma aplicação operacional deve integrar fotografias recorrentes, inspeções de campo, histórico de poda e queda, dados meteorológicos e uma série temporal maior. O retorno das equipes de conservação deve gerar rótulos independentes. Somente então será adequado treinar e avaliar um modelo supervisionado.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A coleta pode ser mensal na estação de maior crescimento, trimestral nos demais períodos e extraordinária após tempestades ou ventos severos. Os resultados devem alimentar um painel geográfico e permanecer sujeitos à decisão humana.</w:t>
      </w:r>
    </w:p>
    <w:p>
      <w:pPr>
        <w:pStyle w:val="Heading1"/>
      </w:pPr>
      <w:r>
        <w:t>11 Conclusão</w:t>
      </w:r>
    </w:p>
    <w:p>
      <w:pPr>
        <w:spacing w:after="12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A prova de conceito demonstrou que fontes públicas podem sustentar um pipeline automatizado para organizar inspeções de vegetação. Foram construídas 184 observações, 92 pontos comparáveis e cinco candidatos de alta prioridade. O trabalho atende ao objetivo de demonstrar coleta, preparação, rotulagem, análise e evolução em escala, mas confirma que dados de satélite isolados não diagnosticam risco. O próximo passo é validar os candidatos em campo.</w:t>
      </w:r>
    </w:p>
    <w:p>
      <w:pPr>
        <w:pStyle w:val="Heading1"/>
      </w:pPr>
      <w:r>
        <w:t>Referências</w:t>
      </w:r>
    </w:p>
    <w:p>
      <w:pPr>
        <w:spacing w:after="120"/>
        <w:ind w:left="360" w:hanging="360"/>
      </w:pPr>
      <w:r>
        <w:rPr>
          <w:rFonts w:ascii="Arial" w:hAnsi="Arial"/>
          <w:b w:val="0"/>
          <w:i w:val="0"/>
          <w:color w:val="000000"/>
          <w:sz w:val="20"/>
        </w:rPr>
        <w:t>EUROPEAN SPACE AGENCY. Sentinel-2 Facts and Figures. Disponível em https://www.esa.int/Applications/Observing_the_Earth/Copernicus/Sentinel-2/Facts_and_figures. Acesso em setembro de 2026.</w:t>
      </w:r>
    </w:p>
    <w:p>
      <w:pPr>
        <w:spacing w:after="120"/>
        <w:ind w:left="360" w:hanging="360"/>
      </w:pPr>
      <w:r>
        <w:rPr>
          <w:rFonts w:ascii="Arial" w:hAnsi="Arial"/>
          <w:b w:val="0"/>
          <w:i w:val="0"/>
          <w:color w:val="000000"/>
          <w:sz w:val="20"/>
        </w:rPr>
        <w:t>MICROSOFT. Planetary Computer STAC API. Disponível em https://planetarycomputer.microsoft.com/docs/reference/stac/. Acesso em setembro de 2026.</w:t>
      </w:r>
    </w:p>
    <w:p>
      <w:pPr>
        <w:spacing w:after="120"/>
        <w:ind w:left="360" w:hanging="360"/>
      </w:pPr>
      <w:r>
        <w:rPr>
          <w:rFonts w:ascii="Arial" w:hAnsi="Arial"/>
          <w:b w:val="0"/>
          <w:i w:val="0"/>
          <w:color w:val="000000"/>
          <w:sz w:val="20"/>
        </w:rPr>
        <w:t>OPENSTREETMAP CONTRIBUTORS. OpenStreetMap data and copyright. Disponível em https://www.openstreetmap.org/copyright. Acesso em setembro de 2026.</w:t>
      </w:r>
    </w:p>
    <w:p>
      <w:pPr>
        <w:spacing w:after="120"/>
        <w:ind w:left="360" w:hanging="360"/>
      </w:pPr>
      <w:r>
        <w:rPr>
          <w:rFonts w:ascii="Arial" w:hAnsi="Arial"/>
          <w:b w:val="0"/>
          <w:i w:val="0"/>
          <w:color w:val="000000"/>
          <w:sz w:val="20"/>
        </w:rPr>
        <w:t>DNIT. Plano Nacional de Viação e Sistema Nacional de Viação. Disponível em https://www.gov.br/dnit/pt-br/assuntos/atlas-e-mapas/pnv-e-snv. Acesso em setembro de 2026.</w:t>
      </w:r>
    </w:p>
    <w:p>
      <w:pPr>
        <w:spacing w:after="120"/>
        <w:ind w:left="360" w:hanging="360"/>
      </w:pPr>
      <w:r>
        <w:rPr>
          <w:rFonts w:ascii="Arial" w:hAnsi="Arial"/>
          <w:b w:val="0"/>
          <w:i w:val="0"/>
          <w:color w:val="000000"/>
          <w:sz w:val="20"/>
        </w:rPr>
        <w:t>MOTIVA. CCR RioSP Via Dutra e Rio-Santos. Disponível em https://rodovias.motiva.com.br/riosp/sobre/sobre-riosp/. Acesso em setembro de 2026.</w:t>
      </w:r>
    </w:p>
    <w:sectPr w:rsidR="00FC693F" w:rsidRPr="0006063C" w:rsidSect="00034616">
      <w:footerReference w:type="default" r:id="rId9"/>
      <w:pgSz w:w="12240" w:h="15840"/>
      <w:pgMar w:top="1152" w:right="1296" w:bottom="1080" w:left="1296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A5A5A"/>
        <w:sz w:val="18"/>
      </w:rPr>
      <w:t xml:space="preserve">Página </w:t>
    </w:r>
    <w:r>
      <w:rPr>
        <w:rFonts w:ascii="Arial" w:hAnsi="Arial"/>
        <w:b w:val="0"/>
        <w:i w:val="0"/>
        <w:color w:val="5A5A5A"/>
        <w:sz w:val="18"/>
      </w:rPr>
      <w:fldChar w:fldCharType="begin"/>
    </w:r>
    <w:r>
      <w:rPr>
        <w:rFonts w:ascii="Arial" w:hAnsi="Arial"/>
        <w:b w:val="0"/>
        <w:i w:val="0"/>
        <w:color w:val="5A5A5A"/>
        <w:sz w:val="18"/>
      </w:rPr>
      <w:instrText xml:space="preserve"> PAGE </w:instrText>
    </w:r>
    <w:r>
      <w:rPr>
        <w:rFonts w:ascii="Arial" w:hAnsi="Arial"/>
        <w:b w:val="0"/>
        <w:i w:val="0"/>
        <w:color w:val="5A5A5A"/>
        <w:sz w:val="18"/>
      </w:rPr>
      <w:fldChar w:fldCharType="separate"/>
    </w:r>
    <w:r>
      <w:rPr>
        <w:rFonts w:ascii="Arial" w:hAnsi="Arial"/>
        <w:b w:val="0"/>
        <w:i w:val="0"/>
        <w:color w:val="5A5A5A"/>
        <w:sz w:val="18"/>
      </w:rPr>
      <w:t>1</w:t>
    </w:r>
    <w:r>
      <w:rPr>
        <w:rFonts w:ascii="Arial" w:hAnsi="Arial"/>
        <w:b w:val="0"/>
        <w:i w:val="0"/>
        <w:color w:val="5A5A5A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Priorização de inspeções de vegetação na Via Dutra</dc:title>
  <dc:subject>Prova de conceito de Ciência de Dados com Sentinel 2</dc:subject>
  <dc:creator>Turma 2CCPG</dc:creator>
  <cp:keywords>Sentinel-2, NDVI, rodovias, vegetação, Ciência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