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Evidence Collection &amp; Preservation Plan</w:t>
      </w:r>
    </w:p>
    <w:p>
      <w:pPr>
        <w:jc w:val="center"/>
      </w:pPr>
      <w:r>
        <w:rPr>
          <w:i/>
          <w:sz w:val="21"/>
        </w:rPr>
        <w:t>Internet Layers &amp; Cybercrime Analysis | Gabryelle Walker</w:t>
      </w:r>
    </w:p>
    <w:p>
      <w:pPr>
        <w:pStyle w:val="Heading1"/>
      </w:pPr>
      <w:r>
        <w:t>1. Purpose</w:t>
      </w:r>
    </w:p>
    <w:p>
      <w:r>
        <w:t>This fictional plan establishes a structured approach for identifying, collecting, preserving, documenting, and reviewing digital evidence during a cybercrime investigation. It supports the companion case file involving a phishing message, compromised cloud identity, unauthorized access to protected records, and a possible dark-web data advertisement.</w:t>
      </w:r>
    </w:p>
    <w:p>
      <w:pPr>
        <w:pStyle w:val="Heading1"/>
      </w:pPr>
      <w:r>
        <w:t>2. Evidence Handling Principles</w:t>
      </w:r>
    </w:p>
    <w:p>
      <w:pPr>
        <w:pStyle w:val="ListBullet"/>
      </w:pPr>
      <w:r>
        <w:t>Collect only evidence relevant to the authorized scope of the investigation.</w:t>
      </w:r>
    </w:p>
    <w:p>
      <w:pPr>
        <w:pStyle w:val="ListBullet"/>
      </w:pPr>
      <w:r>
        <w:t>Preserve original evidence whenever possible and conduct analysis on approved working copies.</w:t>
      </w:r>
    </w:p>
    <w:p>
      <w:pPr>
        <w:pStyle w:val="ListBullet"/>
      </w:pPr>
      <w:r>
        <w:t>Document who collected, accessed, transferred, or analyzed evidence and when those actions occurred.</w:t>
      </w:r>
    </w:p>
    <w:p>
      <w:pPr>
        <w:pStyle w:val="ListBullet"/>
      </w:pPr>
      <w:r>
        <w:t>Use timestamps, source identifiers, case numbers, and integrity checks where appropriate to support traceability.</w:t>
      </w:r>
    </w:p>
    <w:p>
      <w:pPr>
        <w:pStyle w:val="ListBullet"/>
      </w:pPr>
      <w:r>
        <w:t>Protect sensitive evidence using access controls, encryption, and approved storage.</w:t>
      </w:r>
    </w:p>
    <w:p>
      <w:pPr>
        <w:pStyle w:val="ListBullet"/>
      </w:pPr>
      <w:r>
        <w:t>Distinguish confirmed evidence from analyst inference and unverified intelligence leads.</w:t>
      </w:r>
    </w:p>
    <w:p>
      <w:pPr>
        <w:pStyle w:val="Heading1"/>
      </w:pPr>
      <w:r>
        <w:t>3. Evidence Collection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Evidence Source</w:t>
            </w:r>
          </w:p>
        </w:tc>
        <w:tc>
          <w:tcPr>
            <w:tcW w:type="dxa" w:w="2016"/>
          </w:tcPr>
          <w:p>
            <w:r>
              <w:t>Examples</w:t>
            </w:r>
          </w:p>
        </w:tc>
        <w:tc>
          <w:tcPr>
            <w:tcW w:type="dxa" w:w="2016"/>
          </w:tcPr>
          <w:p>
            <w:r>
              <w:t>Why It Matters</w:t>
            </w:r>
          </w:p>
        </w:tc>
        <w:tc>
          <w:tcPr>
            <w:tcW w:type="dxa" w:w="2016"/>
          </w:tcPr>
          <w:p>
            <w:r>
              <w:t>Collection / Preservation Consideration</w:t>
            </w:r>
          </w:p>
        </w:tc>
        <w:tc>
          <w:tcPr>
            <w:tcW w:type="dxa" w:w="2016"/>
          </w:tcPr>
          <w:p>
            <w:r>
              <w:t>Priority</w:t>
            </w:r>
          </w:p>
        </w:tc>
      </w:tr>
      <w:tr>
        <w:tc>
          <w:tcPr>
            <w:tcW w:type="dxa" w:w="2016"/>
          </w:tcPr>
          <w:p>
            <w:r>
              <w:t>Email</w:t>
            </w:r>
          </w:p>
        </w:tc>
        <w:tc>
          <w:tcPr>
            <w:tcW w:type="dxa" w:w="2016"/>
          </w:tcPr>
          <w:p>
            <w:r>
              <w:t>Original message, headers, sender/recipient data, attachments</w:t>
            </w:r>
          </w:p>
        </w:tc>
        <w:tc>
          <w:tcPr>
            <w:tcW w:type="dxa" w:w="2016"/>
          </w:tcPr>
          <w:p>
            <w:r>
              <w:t>Supports analysis of phishing delivery and sender infrastructure.</w:t>
            </w:r>
          </w:p>
        </w:tc>
        <w:tc>
          <w:tcPr>
            <w:tcW w:type="dxa" w:w="2016"/>
          </w:tcPr>
          <w:p>
            <w:r>
              <w:t>Preserve original message format and metadata; avoid altering the source item.</w:t>
            </w:r>
          </w:p>
        </w:tc>
        <w:tc>
          <w:tcPr>
            <w:tcW w:type="dxa" w:w="2016"/>
          </w:tcPr>
          <w:p>
            <w:r>
              <w:t>High</w:t>
            </w:r>
          </w:p>
        </w:tc>
      </w:tr>
      <w:tr>
        <w:tc>
          <w:tcPr>
            <w:tcW w:type="dxa" w:w="2016"/>
          </w:tcPr>
          <w:p>
            <w:r>
              <w:t>Web / Surface Web</w:t>
            </w:r>
          </w:p>
        </w:tc>
        <w:tc>
          <w:tcPr>
            <w:tcW w:type="dxa" w:w="2016"/>
          </w:tcPr>
          <w:p>
            <w:r>
              <w:t>Fraudulent URL, domain details, screenshots, public content</w:t>
            </w:r>
          </w:p>
        </w:tc>
        <w:tc>
          <w:tcPr>
            <w:tcW w:type="dxa" w:w="2016"/>
          </w:tcPr>
          <w:p>
            <w:r>
              <w:t>Documents the initial-access infrastructure and public-facing indicators.</w:t>
            </w:r>
          </w:p>
        </w:tc>
        <w:tc>
          <w:tcPr>
            <w:tcW w:type="dxa" w:w="2016"/>
          </w:tcPr>
          <w:p>
            <w:r>
              <w:t>Capture time and source because public content may change or disappear.</w:t>
            </w:r>
          </w:p>
        </w:tc>
        <w:tc>
          <w:tcPr>
            <w:tcW w:type="dxa" w:w="2016"/>
          </w:tcPr>
          <w:p>
            <w:r>
              <w:t>High</w:t>
            </w:r>
          </w:p>
        </w:tc>
      </w:tr>
      <w:tr>
        <w:tc>
          <w:tcPr>
            <w:tcW w:type="dxa" w:w="2016"/>
          </w:tcPr>
          <w:p>
            <w:r>
              <w:t>Identity Provider</w:t>
            </w:r>
          </w:p>
        </w:tc>
        <w:tc>
          <w:tcPr>
            <w:tcW w:type="dxa" w:w="2016"/>
          </w:tcPr>
          <w:p>
            <w:r>
              <w:t>Sign-in events, MFA activity, sessions, token activity</w:t>
            </w:r>
          </w:p>
        </w:tc>
        <w:tc>
          <w:tcPr>
            <w:tcW w:type="dxa" w:w="2016"/>
          </w:tcPr>
          <w:p>
            <w:r>
              <w:t>Establishes suspicious authentication and possible account takeover.</w:t>
            </w:r>
          </w:p>
        </w:tc>
        <w:tc>
          <w:tcPr>
            <w:tcW w:type="dxa" w:w="2016"/>
          </w:tcPr>
          <w:p>
            <w:r>
              <w:t>Export relevant logs promptly and retain original timestamps/time zone context.</w:t>
            </w:r>
          </w:p>
        </w:tc>
        <w:tc>
          <w:tcPr>
            <w:tcW w:type="dxa" w:w="2016"/>
          </w:tcPr>
          <w:p>
            <w:r>
              <w:t>Critical</w:t>
            </w:r>
          </w:p>
        </w:tc>
      </w:tr>
      <w:tr>
        <w:tc>
          <w:tcPr>
            <w:tcW w:type="dxa" w:w="2016"/>
          </w:tcPr>
          <w:p>
            <w:r>
              <w:t>Cloud Repository</w:t>
            </w:r>
          </w:p>
        </w:tc>
        <w:tc>
          <w:tcPr>
            <w:tcW w:type="dxa" w:w="2016"/>
          </w:tcPr>
          <w:p>
            <w:r>
              <w:t>File access, downloads, sharing events, audit trails</w:t>
            </w:r>
          </w:p>
        </w:tc>
        <w:tc>
          <w:tcPr>
            <w:tcW w:type="dxa" w:w="2016"/>
          </w:tcPr>
          <w:p>
            <w:r>
              <w:t>Defines scope of unauthorized access to protected resources.</w:t>
            </w:r>
          </w:p>
        </w:tc>
        <w:tc>
          <w:tcPr>
            <w:tcW w:type="dxa" w:w="2016"/>
          </w:tcPr>
          <w:p>
            <w:r>
              <w:t>Preserve audit records and correlate activity with identity events.</w:t>
            </w:r>
          </w:p>
        </w:tc>
        <w:tc>
          <w:tcPr>
            <w:tcW w:type="dxa" w:w="2016"/>
          </w:tcPr>
          <w:p>
            <w:r>
              <w:t>Critical</w:t>
            </w:r>
          </w:p>
        </w:tc>
      </w:tr>
      <w:tr>
        <w:tc>
          <w:tcPr>
            <w:tcW w:type="dxa" w:w="2016"/>
          </w:tcPr>
          <w:p>
            <w:r>
              <w:t>Endpoint</w:t>
            </w:r>
          </w:p>
        </w:tc>
        <w:tc>
          <w:tcPr>
            <w:tcW w:type="dxa" w:w="2016"/>
          </w:tcPr>
          <w:p>
            <w:r>
              <w:t>EDR alerts, browser history, process/network telemetry</w:t>
            </w:r>
          </w:p>
        </w:tc>
        <w:tc>
          <w:tcPr>
            <w:tcW w:type="dxa" w:w="2016"/>
          </w:tcPr>
          <w:p>
            <w:r>
              <w:t>Helps determine whether malware executed or additional compromise occurred.</w:t>
            </w:r>
          </w:p>
        </w:tc>
        <w:tc>
          <w:tcPr>
            <w:tcW w:type="dxa" w:w="2016"/>
          </w:tcPr>
          <w:p>
            <w:r>
              <w:t>Use approved forensic/EDR processes and avoid unnecessary changes to the device.</w:t>
            </w:r>
          </w:p>
        </w:tc>
        <w:tc>
          <w:tcPr>
            <w:tcW w:type="dxa" w:w="2016"/>
          </w:tcPr>
          <w:p>
            <w:r>
              <w:t>High</w:t>
            </w:r>
          </w:p>
        </w:tc>
      </w:tr>
      <w:tr>
        <w:tc>
          <w:tcPr>
            <w:tcW w:type="dxa" w:w="2016"/>
          </w:tcPr>
          <w:p>
            <w:r>
              <w:t>Network / Security</w:t>
            </w:r>
          </w:p>
        </w:tc>
        <w:tc>
          <w:tcPr>
            <w:tcW w:type="dxa" w:w="2016"/>
          </w:tcPr>
          <w:p>
            <w:r>
              <w:t>Proxy, DNS, firewall, VPN, SIEM events</w:t>
            </w:r>
          </w:p>
        </w:tc>
        <w:tc>
          <w:tcPr>
            <w:tcW w:type="dxa" w:w="2016"/>
          </w:tcPr>
          <w:p>
            <w:r>
              <w:t>Correlates infrastructure and user activity across systems.</w:t>
            </w:r>
          </w:p>
        </w:tc>
        <w:tc>
          <w:tcPr>
            <w:tcW w:type="dxa" w:w="2016"/>
          </w:tcPr>
          <w:p>
            <w:r>
              <w:t>Preserve relevant log windows and document clock/time-zone differences.</w:t>
            </w:r>
          </w:p>
        </w:tc>
        <w:tc>
          <w:tcPr>
            <w:tcW w:type="dxa" w:w="2016"/>
          </w:tcPr>
          <w:p>
            <w:r>
              <w:t>High</w:t>
            </w:r>
          </w:p>
        </w:tc>
      </w:tr>
      <w:tr>
        <w:tc>
          <w:tcPr>
            <w:tcW w:type="dxa" w:w="2016"/>
          </w:tcPr>
          <w:p>
            <w:r>
              <w:t>Dark-Web Intelligence</w:t>
            </w:r>
          </w:p>
        </w:tc>
        <w:tc>
          <w:tcPr>
            <w:tcW w:type="dxa" w:w="2016"/>
          </w:tcPr>
          <w:p>
            <w:r>
              <w:t>Post text, alias, timestamp, listed data description</w:t>
            </w:r>
          </w:p>
        </w:tc>
        <w:tc>
          <w:tcPr>
            <w:tcW w:type="dxa" w:w="2016"/>
          </w:tcPr>
          <w:p>
            <w:r>
              <w:t>May provide a lead regarding monetization or secondary exposure.</w:t>
            </w:r>
          </w:p>
        </w:tc>
        <w:tc>
          <w:tcPr>
            <w:tcW w:type="dxa" w:w="2016"/>
          </w:tcPr>
          <w:p>
            <w:r>
              <w:t>Use authorized collection methods; preserve provenance; do not treat a post alone as proof of attribution.</w:t>
            </w:r>
          </w:p>
        </w:tc>
        <w:tc>
          <w:tcPr>
            <w:tcW w:type="dxa" w:w="2016"/>
          </w:tcPr>
          <w:p>
            <w:r>
              <w:t>Medium</w:t>
            </w:r>
          </w:p>
        </w:tc>
      </w:tr>
      <w:tr>
        <w:tc>
          <w:tcPr>
            <w:tcW w:type="dxa" w:w="2016"/>
          </w:tcPr>
          <w:p>
            <w:r>
              <w:t>Business Records</w:t>
            </w:r>
          </w:p>
        </w:tc>
        <w:tc>
          <w:tcPr>
            <w:tcW w:type="dxa" w:w="2016"/>
          </w:tcPr>
          <w:p>
            <w:r>
              <w:t>Payment records, user role, asset ownership, incident tickets</w:t>
            </w:r>
          </w:p>
        </w:tc>
        <w:tc>
          <w:tcPr>
            <w:tcW w:type="dxa" w:w="2016"/>
          </w:tcPr>
          <w:p>
            <w:r>
              <w:t>Provides context for impact, access authorization, and investigative decisions.</w:t>
            </w:r>
          </w:p>
        </w:tc>
        <w:tc>
          <w:tcPr>
            <w:tcW w:type="dxa" w:w="2016"/>
          </w:tcPr>
          <w:p>
            <w:r>
              <w:t>Limit access to authorized personnel and preserve source-system references.</w:t>
            </w:r>
          </w:p>
        </w:tc>
        <w:tc>
          <w:tcPr>
            <w:tcW w:type="dxa" w:w="2016"/>
          </w:tcPr>
          <w:p>
            <w:r>
              <w:t>Medium</w:t>
            </w:r>
          </w:p>
        </w:tc>
      </w:tr>
    </w:tbl>
    <w:p>
      <w:pPr>
        <w:pStyle w:val="Heading1"/>
      </w:pPr>
      <w:r>
        <w:t>4. Collection Sequence</w:t>
      </w:r>
    </w:p>
    <w:p>
      <w:r>
        <w:rPr>
          <w:b/>
        </w:rPr>
        <w:t xml:space="preserve">1. Authorize and scope: </w:t>
      </w:r>
      <w:r>
        <w:t>Confirm the incident, affected assets, investigation authority, and evidence sources that are relevant.</w:t>
      </w:r>
    </w:p>
    <w:p>
      <w:r>
        <w:rPr>
          <w:b/>
        </w:rPr>
        <w:t xml:space="preserve">2. Preserve volatile or time-sensitive evidence: </w:t>
      </w:r>
      <w:r>
        <w:t>Prioritize logs, sessions, public web content, active alerts, and other information that may expire or change.</w:t>
      </w:r>
    </w:p>
    <w:p>
      <w:r>
        <w:rPr>
          <w:b/>
        </w:rPr>
        <w:t xml:space="preserve">3. Acquire primary artifacts: </w:t>
      </w:r>
      <w:r>
        <w:t>Collect original emails, identity logs, cloud audit records, endpoint telemetry, and relevant security logs.</w:t>
      </w:r>
    </w:p>
    <w:p>
      <w:r>
        <w:rPr>
          <w:b/>
        </w:rPr>
        <w:t xml:space="preserve">4. Record evidence metadata: </w:t>
      </w:r>
      <w:r>
        <w:t>Assign an evidence identifier and document source, collector, date/time, method, and storage location.</w:t>
      </w:r>
    </w:p>
    <w:p>
      <w:r>
        <w:rPr>
          <w:b/>
        </w:rPr>
        <w:t xml:space="preserve">5. Protect integrity: </w:t>
      </w:r>
      <w:r>
        <w:t>Retain originals, restrict access, and use approved integrity-verification methods where appropriate.</w:t>
      </w:r>
    </w:p>
    <w:p>
      <w:r>
        <w:rPr>
          <w:b/>
        </w:rPr>
        <w:t xml:space="preserve">6. Create working copies: </w:t>
      </w:r>
      <w:r>
        <w:t>Perform analysis on authorized copies when feasible so original evidence remains preserved.</w:t>
      </w:r>
    </w:p>
    <w:p>
      <w:r>
        <w:rPr>
          <w:b/>
        </w:rPr>
        <w:t xml:space="preserve">7. Correlate evidence: </w:t>
      </w:r>
      <w:r>
        <w:t>Build a timeline across email, authentication, cloud, endpoint, network, and threat-intelligence sources.</w:t>
      </w:r>
    </w:p>
    <w:p>
      <w:r>
        <w:rPr>
          <w:b/>
        </w:rPr>
        <w:t xml:space="preserve">8. Retain and dispose appropriately: </w:t>
      </w:r>
      <w:r>
        <w:t>Follow organizational retention, legal hold, privacy, and evidence-disposition requirements.</w:t>
      </w:r>
    </w:p>
    <w:p>
      <w:pPr>
        <w:pStyle w:val="Heading1"/>
      </w:pPr>
      <w:r>
        <w:t>5. Chain-of-Custody Record</w:t>
      </w:r>
    </w:p>
    <w:p>
      <w:r>
        <w:t>When formal chain-of-custody documentation is required, each transfer or access event should be recorded so investigators can demonstrate where evidence came from, who controlled it, and how it was handled.</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Evidence ID</w:t>
            </w:r>
          </w:p>
        </w:tc>
        <w:tc>
          <w:tcPr>
            <w:tcW w:type="dxa" w:w="1680"/>
          </w:tcPr>
          <w:p>
            <w:r>
              <w:t>Date/Time</w:t>
            </w:r>
          </w:p>
        </w:tc>
        <w:tc>
          <w:tcPr>
            <w:tcW w:type="dxa" w:w="1680"/>
          </w:tcPr>
          <w:p>
            <w:r>
              <w:t>Released By</w:t>
            </w:r>
          </w:p>
        </w:tc>
        <w:tc>
          <w:tcPr>
            <w:tcW w:type="dxa" w:w="1680"/>
          </w:tcPr>
          <w:p>
            <w:r>
              <w:t>Received By</w:t>
            </w:r>
          </w:p>
        </w:tc>
        <w:tc>
          <w:tcPr>
            <w:tcW w:type="dxa" w:w="1680"/>
          </w:tcPr>
          <w:p>
            <w:r>
              <w:t>Purpose / Action</w:t>
            </w:r>
          </w:p>
        </w:tc>
        <w:tc>
          <w:tcPr>
            <w:tcW w:type="dxa" w:w="1680"/>
          </w:tcPr>
          <w:p>
            <w:r>
              <w:t>Storage / Location</w:t>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r>
        <w:tc>
          <w:tcPr>
            <w:tcW w:type="dxa" w:w="1680"/>
          </w:tcPr>
          <w:p>
            <w:r/>
          </w:p>
        </w:tc>
        <w:tc>
          <w:tcPr>
            <w:tcW w:type="dxa" w:w="1680"/>
          </w:tcPr>
          <w:p>
            <w:r/>
          </w:p>
        </w:tc>
        <w:tc>
          <w:tcPr>
            <w:tcW w:type="dxa" w:w="1680"/>
          </w:tcPr>
          <w:p>
            <w:r/>
          </w:p>
        </w:tc>
        <w:tc>
          <w:tcPr>
            <w:tcW w:type="dxa" w:w="1680"/>
          </w:tcPr>
          <w:p>
            <w:r/>
          </w:p>
        </w:tc>
        <w:tc>
          <w:tcPr>
            <w:tcW w:type="dxa" w:w="1680"/>
          </w:tcPr>
          <w:p>
            <w:r/>
          </w:p>
        </w:tc>
        <w:tc>
          <w:tcPr>
            <w:tcW w:type="dxa" w:w="1680"/>
          </w:tcPr>
          <w:p>
            <w:r/>
          </w:p>
        </w:tc>
      </w:tr>
    </w:tbl>
    <w:p>
      <w:pPr>
        <w:pStyle w:val="Heading1"/>
      </w:pPr>
      <w:r>
        <w:t>6. Evidence Integrity and Documentation</w:t>
      </w:r>
    </w:p>
    <w:p>
      <w:r>
        <w:t>Evidence records should include sufficient information for another authorized analyst to understand what was collected and reproduce the investigative reasoning. Where file-based forensic evidence is acquired, cryptographic hashes may be recorded to help demonstrate that the evidence has not changed between collection and analysis. Logs and cloud exports should retain relevant metadata, timestamps, and source-system context.</w:t>
      </w:r>
    </w:p>
    <w:p>
      <w:pPr>
        <w:pStyle w:val="Heading1"/>
      </w:pPr>
      <w:r>
        <w:t>7. Investigation Notes: Facts vs. Inferences</w:t>
      </w:r>
    </w:p>
    <w:tbl>
      <w:tblPr>
        <w:tblStyle w:val="TableGrid"/>
        <w:tblW w:type="auto" w:w="0"/>
        <w:tblLook w:firstColumn="1" w:firstRow="1" w:lastColumn="0" w:lastRow="0" w:noHBand="0" w:noVBand="1" w:val="04A0"/>
      </w:tblPr>
      <w:tblGrid>
        <w:gridCol w:w="3360"/>
        <w:gridCol w:w="3360"/>
        <w:gridCol w:w="3360"/>
      </w:tblGrid>
      <w:tr>
        <w:tc>
          <w:tcPr>
            <w:tcW w:type="dxa" w:w="3360"/>
          </w:tcPr>
          <w:p>
            <w:r>
              <w:t>Classification</w:t>
            </w:r>
          </w:p>
        </w:tc>
        <w:tc>
          <w:tcPr>
            <w:tcW w:type="dxa" w:w="3360"/>
          </w:tcPr>
          <w:p>
            <w:r>
              <w:t>Example</w:t>
            </w:r>
          </w:p>
        </w:tc>
        <w:tc>
          <w:tcPr>
            <w:tcW w:type="dxa" w:w="3360"/>
          </w:tcPr>
          <w:p>
            <w:r>
              <w:t>How to Document</w:t>
            </w:r>
          </w:p>
        </w:tc>
      </w:tr>
      <w:tr>
        <w:tc>
          <w:tcPr>
            <w:tcW w:type="dxa" w:w="3360"/>
          </w:tcPr>
          <w:p>
            <w:r>
              <w:t>Confirmed Fact</w:t>
            </w:r>
          </w:p>
        </w:tc>
        <w:tc>
          <w:tcPr>
            <w:tcW w:type="dxa" w:w="3360"/>
          </w:tcPr>
          <w:p>
            <w:r>
              <w:t>Identity logs record a successful login after the phishing interaction.</w:t>
            </w:r>
          </w:p>
        </w:tc>
        <w:tc>
          <w:tcPr>
            <w:tcW w:type="dxa" w:w="3360"/>
          </w:tcPr>
          <w:p>
            <w:r>
              <w:t>State the evidence source and observed event directly.</w:t>
            </w:r>
          </w:p>
        </w:tc>
      </w:tr>
      <w:tr>
        <w:tc>
          <w:tcPr>
            <w:tcW w:type="dxa" w:w="3360"/>
          </w:tcPr>
          <w:p>
            <w:r>
              <w:t>Supported Inference</w:t>
            </w:r>
          </w:p>
        </w:tc>
        <w:tc>
          <w:tcPr>
            <w:tcW w:type="dxa" w:w="3360"/>
          </w:tcPr>
          <w:p>
            <w:r>
              <w:t>The phishing event is the likely initial-access vector because it immediately preceded suspicious authentication.</w:t>
            </w:r>
          </w:p>
        </w:tc>
        <w:tc>
          <w:tcPr>
            <w:tcW w:type="dxa" w:w="3360"/>
          </w:tcPr>
          <w:p>
            <w:r>
              <w:t>Explain the evidence connecting the events and identify the statement as an inference.</w:t>
            </w:r>
          </w:p>
        </w:tc>
      </w:tr>
      <w:tr>
        <w:tc>
          <w:tcPr>
            <w:tcW w:type="dxa" w:w="3360"/>
          </w:tcPr>
          <w:p>
            <w:r>
              <w:t>Unverified Lead</w:t>
            </w:r>
          </w:p>
        </w:tc>
        <w:tc>
          <w:tcPr>
            <w:tcW w:type="dxa" w:w="3360"/>
          </w:tcPr>
          <w:p>
            <w:r>
              <w:t>A dark-web post advertises data resembling the affected record type.</w:t>
            </w:r>
          </w:p>
        </w:tc>
        <w:tc>
          <w:tcPr>
            <w:tcW w:type="dxa" w:w="3360"/>
          </w:tcPr>
          <w:p>
            <w:r>
              <w:t>Document it as intelligence requiring corroboration; do not claim attribution.</w:t>
            </w:r>
          </w:p>
        </w:tc>
      </w:tr>
    </w:tbl>
    <w:p>
      <w:pPr>
        <w:pStyle w:val="Heading1"/>
      </w:pPr>
      <w:r>
        <w:t>8. Secure Evidence Storage</w:t>
      </w:r>
    </w:p>
    <w:p>
      <w:pPr>
        <w:pStyle w:val="ListBullet"/>
      </w:pPr>
      <w:r>
        <w:t>Store evidence only in approved repositories with role-based access.</w:t>
      </w:r>
    </w:p>
    <w:p>
      <w:pPr>
        <w:pStyle w:val="ListBullet"/>
      </w:pPr>
      <w:r>
        <w:t>Encrypt sensitive evidence at rest and in transit according to organizational requirements.</w:t>
      </w:r>
    </w:p>
    <w:p>
      <w:pPr>
        <w:pStyle w:val="ListBullet"/>
      </w:pPr>
      <w:r>
        <w:t>Maintain audit logging for evidence access where supported.</w:t>
      </w:r>
    </w:p>
    <w:p>
      <w:pPr>
        <w:pStyle w:val="ListBullet"/>
      </w:pPr>
      <w:r>
        <w:t>Separate evidence from ordinary working documents when formal forensic handling is required.</w:t>
      </w:r>
    </w:p>
    <w:p>
      <w:pPr>
        <w:pStyle w:val="ListBullet"/>
      </w:pPr>
      <w:r>
        <w:t>Apply retention, legal-hold, privacy, and deletion requirements appropriate to the investigation.</w:t>
      </w:r>
    </w:p>
    <w:p>
      <w:pPr>
        <w:pStyle w:val="Heading1"/>
      </w:pPr>
      <w:r>
        <w:t>9. Escalation Considerations</w:t>
      </w:r>
    </w:p>
    <w:p>
      <w:r>
        <w:t>Investigators should escalate when evidence indicates significant data exposure, financial loss, privileged-account compromise, widespread intrusion, legal or privacy obligations, or potential criminal activity requiring outside coordination. Legal counsel, privacy personnel, incident-response leadership, executives, insurers, regulators, or law enforcement may need to be involved depending on organizational policy and the facts of the case.</w:t>
      </w:r>
    </w:p>
    <w:p>
      <w:pPr>
        <w:pStyle w:val="Heading1"/>
      </w:pPr>
      <w:r>
        <w:t>10. Portfolio Takeaway</w:t>
      </w:r>
    </w:p>
    <w:p>
      <w:r>
        <w:t>Digital evidence is useful only when investigators can explain its source, relevance, integrity, and relationship to other evidence. A disciplined collection and preservation process supports accurate timelines, defensible findings, cautious attribution, and better incident decisions.</w:t>
      </w:r>
    </w:p>
    <w:p>
      <w:pPr>
        <w:pStyle w:val="Heading1"/>
      </w:pPr>
      <w:r>
        <w:t>Portfolio Disclaimer</w:t>
      </w:r>
    </w:p>
    <w:p>
      <w:r>
        <w:t>This document is an original fictional cybersecurity portfolio exercise created for defensive training and professional demonstration. It is not a forensic laboratory procedure or legal directive. Evidence-handling requirements should follow applicable organizational policy, law, and authorized investigative procedures.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Cybercrime Investigation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