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Executive System Security Brief</w:t>
      </w:r>
    </w:p>
    <w:p>
      <w:pPr>
        <w:jc w:val="center"/>
      </w:pPr>
      <w:r>
        <w:rPr>
          <w:i/>
        </w:rPr>
        <w:t>NovaCore Technologies (Fictional) | Cybersecurity Portfolio | Gabryelle Walker</w:t>
      </w:r>
    </w:p>
    <w:p>
      <w:pPr>
        <w:pStyle w:val="Heading1"/>
      </w:pPr>
      <w:r>
        <w:t>Executive Summary</w:t>
      </w:r>
    </w:p>
    <w:p>
      <w:r>
        <w:t>NovaCore Technologies is implementing a standardized Linux security baseline and Public Key Infrastructure (PKI) model to reduce configuration inconsistency, strengthen authentication and encrypted communications, improve auditability, and reduce preventable security gaps. The fictional validation exercise found that most baseline controls were operating as intended, while two control gaps—an unnecessary listening service and incomplete centralized log forwarding—require remediation before final approval.</w:t>
      </w:r>
    </w:p>
    <w:p>
      <w:pPr>
        <w:pStyle w:val="Heading1"/>
      </w:pPr>
      <w:r>
        <w:t>Security Objectives</w:t>
      </w:r>
    </w:p>
    <w:p>
      <w:pPr>
        <w:pStyle w:val="ListBullet"/>
      </w:pPr>
      <w:r>
        <w:t>Standardize secure Linux configurations across comparable systems.</w:t>
      </w:r>
    </w:p>
    <w:p>
      <w:pPr>
        <w:pStyle w:val="ListBullet"/>
      </w:pPr>
      <w:r>
        <w:t>Reduce manual configuration errors through controlled automation.</w:t>
      </w:r>
    </w:p>
    <w:p>
      <w:pPr>
        <w:pStyle w:val="ListBullet"/>
      </w:pPr>
      <w:r>
        <w:t>Protect unattended sessions and privileged access.</w:t>
      </w:r>
    </w:p>
    <w:p>
      <w:pPr>
        <w:pStyle w:val="ListBullet"/>
      </w:pPr>
      <w:r>
        <w:t>Improve process visibility, security logging, and auditability.</w:t>
      </w:r>
    </w:p>
    <w:p>
      <w:pPr>
        <w:pStyle w:val="ListBullet"/>
      </w:pPr>
      <w:r>
        <w:t>Reduce unnecessary services and network exposure.</w:t>
      </w:r>
    </w:p>
    <w:p>
      <w:pPr>
        <w:pStyle w:val="ListBullet"/>
      </w:pPr>
      <w:r>
        <w:t>Establish trusted certificate issuance and lifecycle management.</w:t>
      </w:r>
    </w:p>
    <w:p>
      <w:pPr>
        <w:pStyle w:val="ListBullet"/>
      </w:pPr>
      <w:r>
        <w:t>Validate security controls before systems are approved for production use.</w:t>
      </w:r>
    </w:p>
    <w:p>
      <w:pPr>
        <w:pStyle w:val="Heading1"/>
      </w:pPr>
      <w:r>
        <w:t>Current Control Posture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Control Domain</w:t>
            </w:r>
          </w:p>
        </w:tc>
        <w:tc>
          <w:tcPr>
            <w:tcW w:type="dxa" w:w="3360"/>
          </w:tcPr>
          <w:p>
            <w:r>
              <w:t>Executive Assessment</w:t>
            </w:r>
          </w:p>
        </w:tc>
        <w:tc>
          <w:tcPr>
            <w:tcW w:type="dxa" w:w="3360"/>
          </w:tcPr>
          <w:p>
            <w:r>
              <w:t>Status</w:t>
            </w:r>
          </w:p>
        </w:tc>
      </w:tr>
      <w:tr>
        <w:tc>
          <w:tcPr>
            <w:tcW w:type="dxa" w:w="3360"/>
          </w:tcPr>
          <w:p>
            <w:r>
              <w:t>System Configuration</w:t>
            </w:r>
          </w:p>
        </w:tc>
        <w:tc>
          <w:tcPr>
            <w:tcW w:type="dxa" w:w="3360"/>
          </w:tcPr>
          <w:p>
            <w:r>
              <w:t>Standardized hostname, time configuration, session controls, and baseline settings were validated in the fictional scenario.</w:t>
            </w:r>
          </w:p>
        </w:tc>
        <w:tc>
          <w:tcPr>
            <w:tcW w:type="dxa" w:w="3360"/>
          </w:tcPr>
          <w:p>
            <w:r>
              <w:t>Effective</w:t>
            </w:r>
          </w:p>
        </w:tc>
      </w:tr>
      <w:tr>
        <w:tc>
          <w:tcPr>
            <w:tcW w:type="dxa" w:w="3360"/>
          </w:tcPr>
          <w:p>
            <w:r>
              <w:t>Security Logging</w:t>
            </w:r>
          </w:p>
        </w:tc>
        <w:tc>
          <w:tcPr>
            <w:tcW w:type="dxa" w:w="3360"/>
          </w:tcPr>
          <w:p>
            <w:r>
              <w:t>Local logging was validated; centralized forwarding remains incomplete.</w:t>
            </w:r>
          </w:p>
        </w:tc>
        <w:tc>
          <w:tcPr>
            <w:tcW w:type="dxa" w:w="3360"/>
          </w:tcPr>
          <w:p>
            <w:r>
              <w:t>Needs Follow-Up</w:t>
            </w:r>
          </w:p>
        </w:tc>
      </w:tr>
      <w:tr>
        <w:tc>
          <w:tcPr>
            <w:tcW w:type="dxa" w:w="3360"/>
          </w:tcPr>
          <w:p>
            <w:r>
              <w:t>Process &amp; Service Visibility</w:t>
            </w:r>
          </w:p>
        </w:tc>
        <w:tc>
          <w:tcPr>
            <w:tcW w:type="dxa" w:w="3360"/>
          </w:tcPr>
          <w:p>
            <w:r>
              <w:t>Process inventory was available, but one unnecessary listening service was identified.</w:t>
            </w:r>
          </w:p>
        </w:tc>
        <w:tc>
          <w:tcPr>
            <w:tcW w:type="dxa" w:w="3360"/>
          </w:tcPr>
          <w:p>
            <w:r>
              <w:t>Needs Follow-Up</w:t>
            </w:r>
          </w:p>
        </w:tc>
      </w:tr>
      <w:tr>
        <w:tc>
          <w:tcPr>
            <w:tcW w:type="dxa" w:w="3360"/>
          </w:tcPr>
          <w:p>
            <w:r>
              <w:t>Privilege Management</w:t>
            </w:r>
          </w:p>
        </w:tc>
        <w:tc>
          <w:tcPr>
            <w:tcW w:type="dxa" w:w="3360"/>
          </w:tcPr>
          <w:p>
            <w:r>
              <w:t>Administrative access was limited to approved accounts in the fictional validation scenario.</w:t>
            </w:r>
          </w:p>
        </w:tc>
        <w:tc>
          <w:tcPr>
            <w:tcW w:type="dxa" w:w="3360"/>
          </w:tcPr>
          <w:p>
            <w:r>
              <w:t>Effective</w:t>
            </w:r>
          </w:p>
        </w:tc>
      </w:tr>
      <w:tr>
        <w:tc>
          <w:tcPr>
            <w:tcW w:type="dxa" w:w="3360"/>
          </w:tcPr>
          <w:p>
            <w:r>
              <w:t>Patch / Baseline Maintenance</w:t>
            </w:r>
          </w:p>
        </w:tc>
        <w:tc>
          <w:tcPr>
            <w:tcW w:type="dxa" w:w="3360"/>
          </w:tcPr>
          <w:p>
            <w:r>
              <w:t>Security update status was reviewed against the fictional deployment baseline.</w:t>
            </w:r>
          </w:p>
        </w:tc>
        <w:tc>
          <w:tcPr>
            <w:tcW w:type="dxa" w:w="3360"/>
          </w:tcPr>
          <w:p>
            <w:r>
              <w:t>Effective</w:t>
            </w:r>
          </w:p>
        </w:tc>
      </w:tr>
      <w:tr>
        <w:tc>
          <w:tcPr>
            <w:tcW w:type="dxa" w:w="3360"/>
          </w:tcPr>
          <w:p>
            <w:r>
              <w:t>PKI &amp; Certificate Trust</w:t>
            </w:r>
          </w:p>
        </w:tc>
        <w:tc>
          <w:tcPr>
            <w:tcW w:type="dxa" w:w="3360"/>
          </w:tcPr>
          <w:p>
            <w:r>
              <w:t>Certificate subject, issuer, validity, and trust-chain concepts were incorporated into the security design.</w:t>
            </w:r>
          </w:p>
        </w:tc>
        <w:tc>
          <w:tcPr>
            <w:tcW w:type="dxa" w:w="3360"/>
          </w:tcPr>
          <w:p>
            <w:r>
              <w:t>Effective / Ongoing</w:t>
            </w:r>
          </w:p>
        </w:tc>
      </w:tr>
    </w:tbl>
    <w:p>
      <w:pPr>
        <w:pStyle w:val="Heading1"/>
      </w:pPr>
      <w:r>
        <w:t>Key Risks Requiring Attention</w:t>
      </w:r>
    </w:p>
    <w:p>
      <w:pPr>
        <w:pStyle w:val="ListBullet"/>
      </w:pPr>
      <w:r>
        <w:rPr>
          <w:b/>
        </w:rPr>
        <w:t xml:space="preserve">Unnecessary Service Exposure: </w:t>
      </w:r>
      <w:r>
        <w:t>An unnecessary listening service increases attack surface and should be disabled unless a documented business requirement exists.</w:t>
      </w:r>
    </w:p>
    <w:p>
      <w:pPr>
        <w:pStyle w:val="ListBullet"/>
      </w:pPr>
      <w:r>
        <w:rPr>
          <w:b/>
        </w:rPr>
        <w:t xml:space="preserve">Incomplete Centralized Logging: </w:t>
      </w:r>
      <w:r>
        <w:t>Local logs alone provide limited enterprise visibility. Centralized log forwarding supports monitoring, correlation, investigation, and auditability.</w:t>
      </w:r>
    </w:p>
    <w:p>
      <w:pPr>
        <w:pStyle w:val="ListBullet"/>
      </w:pPr>
      <w:r>
        <w:rPr>
          <w:b/>
        </w:rPr>
        <w:t xml:space="preserve">Configuration Drift: </w:t>
      </w:r>
      <w:r>
        <w:t>Systems may move away from the approved baseline over time if controls are not periodically revalidated.</w:t>
      </w:r>
    </w:p>
    <w:p>
      <w:pPr>
        <w:pStyle w:val="ListBullet"/>
      </w:pPr>
      <w:r>
        <w:rPr>
          <w:b/>
        </w:rPr>
        <w:t xml:space="preserve">Certificate Lifecycle Risk: </w:t>
      </w:r>
      <w:r>
        <w:t>Expired, improperly issued, or poorly protected certificates and private keys can undermine trust and interrupt secure services.</w:t>
      </w:r>
    </w:p>
    <w:p>
      <w:pPr>
        <w:pStyle w:val="ListBullet"/>
      </w:pPr>
      <w:r>
        <w:rPr>
          <w:b/>
        </w:rPr>
        <w:t xml:space="preserve">Manual Configuration Error: </w:t>
      </w:r>
      <w:r>
        <w:t>Repeated manual setup increases the likelihood of inconsistent security controls across systems.</w:t>
      </w:r>
    </w:p>
    <w:p>
      <w:pPr>
        <w:pStyle w:val="Heading1"/>
      </w:pPr>
      <w:r>
        <w:t>Recommended Leadership Actions</w:t>
      </w:r>
    </w:p>
    <w:tbl>
      <w:tblPr>
        <w:tblStyle w:val="TableGrid"/>
        <w:tblW w:type="auto" w:w="0"/>
        <w:tblLook w:firstColumn="1" w:firstRow="1" w:lastColumn="0" w:lastRow="0" w:noHBand="0" w:noVBand="1" w:val="04A0"/>
      </w:tblPr>
      <w:tblGrid>
        <w:gridCol w:w="3360"/>
        <w:gridCol w:w="3360"/>
        <w:gridCol w:w="3360"/>
      </w:tblGrid>
      <w:tr>
        <w:tc>
          <w:tcPr>
            <w:tcW w:type="dxa" w:w="3360"/>
          </w:tcPr>
          <w:p>
            <w:r>
              <w:t>Recommendation</w:t>
            </w:r>
          </w:p>
        </w:tc>
        <w:tc>
          <w:tcPr>
            <w:tcW w:type="dxa" w:w="3360"/>
          </w:tcPr>
          <w:p>
            <w:r>
              <w:t>Business/Security Value</w:t>
            </w:r>
          </w:p>
        </w:tc>
        <w:tc>
          <w:tcPr>
            <w:tcW w:type="dxa" w:w="3360"/>
          </w:tcPr>
          <w:p>
            <w:r>
              <w:t>Priority</w:t>
            </w:r>
          </w:p>
        </w:tc>
      </w:tr>
      <w:tr>
        <w:tc>
          <w:tcPr>
            <w:tcW w:type="dxa" w:w="3360"/>
          </w:tcPr>
          <w:p>
            <w:r>
              <w:t>Require remediation and retesting of failed baseline controls before final system approval.</w:t>
            </w:r>
          </w:p>
        </w:tc>
        <w:tc>
          <w:tcPr>
            <w:tcW w:type="dxa" w:w="3360"/>
          </w:tcPr>
          <w:p>
            <w:r>
              <w:t>Prevents known configuration gaps from becoming accepted production risk.</w:t>
            </w:r>
          </w:p>
        </w:tc>
        <w:tc>
          <w:tcPr>
            <w:tcW w:type="dxa" w:w="3360"/>
          </w:tcPr>
          <w:p>
            <w:r>
              <w:t>High</w:t>
            </w:r>
          </w:p>
        </w:tc>
      </w:tr>
      <w:tr>
        <w:tc>
          <w:tcPr>
            <w:tcW w:type="dxa" w:w="3360"/>
          </w:tcPr>
          <w:p>
            <w:r>
              <w:t>Adopt controlled hardening automation for repeatable Linux deployment tasks.</w:t>
            </w:r>
          </w:p>
        </w:tc>
        <w:tc>
          <w:tcPr>
            <w:tcW w:type="dxa" w:w="3360"/>
          </w:tcPr>
          <w:p>
            <w:r>
              <w:t>Improves consistency, scalability, and auditability while reducing manual error.</w:t>
            </w:r>
          </w:p>
        </w:tc>
        <w:tc>
          <w:tcPr>
            <w:tcW w:type="dxa" w:w="3360"/>
          </w:tcPr>
          <w:p>
            <w:r>
              <w:t>High</w:t>
            </w:r>
          </w:p>
        </w:tc>
      </w:tr>
      <w:tr>
        <w:tc>
          <w:tcPr>
            <w:tcW w:type="dxa" w:w="3360"/>
          </w:tcPr>
          <w:p>
            <w:r>
              <w:t>Require documented exceptions for systems that cannot meet the approved baseline.</w:t>
            </w:r>
          </w:p>
        </w:tc>
        <w:tc>
          <w:tcPr>
            <w:tcW w:type="dxa" w:w="3360"/>
          </w:tcPr>
          <w:p>
            <w:r>
              <w:t>Ensures residual risk is visible, owned, and periodically reviewed.</w:t>
            </w:r>
          </w:p>
        </w:tc>
        <w:tc>
          <w:tcPr>
            <w:tcW w:type="dxa" w:w="3360"/>
          </w:tcPr>
          <w:p>
            <w:r>
              <w:t>High</w:t>
            </w:r>
          </w:p>
        </w:tc>
      </w:tr>
      <w:tr>
        <w:tc>
          <w:tcPr>
            <w:tcW w:type="dxa" w:w="3360"/>
          </w:tcPr>
          <w:p>
            <w:r>
              <w:t>Implement centralized security-log forwarding for systems within monitoring scope.</w:t>
            </w:r>
          </w:p>
        </w:tc>
        <w:tc>
          <w:tcPr>
            <w:tcW w:type="dxa" w:w="3360"/>
          </w:tcPr>
          <w:p>
            <w:r>
              <w:t>Improves detection, investigation, and enterprise security visibility.</w:t>
            </w:r>
          </w:p>
        </w:tc>
        <w:tc>
          <w:tcPr>
            <w:tcW w:type="dxa" w:w="3360"/>
          </w:tcPr>
          <w:p>
            <w:r>
              <w:t>High</w:t>
            </w:r>
          </w:p>
        </w:tc>
      </w:tr>
      <w:tr>
        <w:tc>
          <w:tcPr>
            <w:tcW w:type="dxa" w:w="3360"/>
          </w:tcPr>
          <w:p>
            <w:r>
              <w:t>Maintain a certificate inventory with expiration and renewal tracking.</w:t>
            </w:r>
          </w:p>
        </w:tc>
        <w:tc>
          <w:tcPr>
            <w:tcW w:type="dxa" w:w="3360"/>
          </w:tcPr>
          <w:p>
            <w:r>
              <w:t>Reduces unexpected service outages and unmanaged certificate risk.</w:t>
            </w:r>
          </w:p>
        </w:tc>
        <w:tc>
          <w:tcPr>
            <w:tcW w:type="dxa" w:w="3360"/>
          </w:tcPr>
          <w:p>
            <w:r>
              <w:t>Medium</w:t>
            </w:r>
          </w:p>
        </w:tc>
      </w:tr>
      <w:tr>
        <w:tc>
          <w:tcPr>
            <w:tcW w:type="dxa" w:w="3360"/>
          </w:tcPr>
          <w:p>
            <w:r>
              <w:t>Periodically validate privileged access, services, ports, and configuration state.</w:t>
            </w:r>
          </w:p>
        </w:tc>
        <w:tc>
          <w:tcPr>
            <w:tcW w:type="dxa" w:w="3360"/>
          </w:tcPr>
          <w:p>
            <w:r>
              <w:t>Helps identify configuration drift and unnecessary exposure.</w:t>
            </w:r>
          </w:p>
        </w:tc>
        <w:tc>
          <w:tcPr>
            <w:tcW w:type="dxa" w:w="3360"/>
          </w:tcPr>
          <w:p>
            <w:r>
              <w:t>Medium</w:t>
            </w:r>
          </w:p>
        </w:tc>
      </w:tr>
    </w:tbl>
    <w:p>
      <w:pPr>
        <w:pStyle w:val="Heading1"/>
      </w:pPr>
      <w:r>
        <w:t>Program Metrics for Leadership</w:t>
      </w:r>
    </w:p>
    <w:p>
      <w:pPr>
        <w:pStyle w:val="ListBullet"/>
      </w:pPr>
      <w:r>
        <w:t>Percentage of deployed Linux systems meeting the approved security baseline</w:t>
      </w:r>
    </w:p>
    <w:p>
      <w:pPr>
        <w:pStyle w:val="ListBullet"/>
      </w:pPr>
      <w:r>
        <w:t>Number of systems approved with security exceptions</w:t>
      </w:r>
    </w:p>
    <w:p>
      <w:pPr>
        <w:pStyle w:val="ListBullet"/>
      </w:pPr>
      <w:r>
        <w:t>Failed hardening controls awaiting remediation</w:t>
      </w:r>
    </w:p>
    <w:p>
      <w:pPr>
        <w:pStyle w:val="ListBullet"/>
      </w:pPr>
      <w:r>
        <w:t>Percentage of systems forwarding required logs to centralized monitoring</w:t>
      </w:r>
    </w:p>
    <w:p>
      <w:pPr>
        <w:pStyle w:val="ListBullet"/>
      </w:pPr>
      <w:r>
        <w:t>Unapproved listening services identified during validation</w:t>
      </w:r>
    </w:p>
    <w:p>
      <w:pPr>
        <w:pStyle w:val="ListBullet"/>
      </w:pPr>
      <w:r>
        <w:t>Privileged-access review findings</w:t>
      </w:r>
    </w:p>
    <w:p>
      <w:pPr>
        <w:pStyle w:val="ListBullet"/>
      </w:pPr>
      <w:r>
        <w:t>Certificate expirations approaching defined renewal thresholds</w:t>
      </w:r>
    </w:p>
    <w:p>
      <w:pPr>
        <w:pStyle w:val="ListBullet"/>
      </w:pPr>
      <w:r>
        <w:t>Configuration-drift findings identified during recurring reviews</w:t>
      </w:r>
    </w:p>
    <w:p>
      <w:pPr>
        <w:pStyle w:val="Heading1"/>
      </w:pPr>
      <w:r>
        <w:t>Business Value</w:t>
      </w:r>
    </w:p>
    <w:p>
      <w:r>
        <w:t>A standardized hardening and PKI program improves more than technical security. Repeatable configurations reduce deployment variability, validation creates stronger audit evidence, automation can reduce administrative effort, centralized logging improves investigation capability, and certificate lifecycle management supports reliable encrypted services. Together, these controls help reduce preventable operational and security risk.</w:t>
      </w:r>
    </w:p>
    <w:p>
      <w:pPr>
        <w:pStyle w:val="Heading1"/>
      </w:pPr>
      <w:r>
        <w:t>Leadership Decision</w:t>
      </w:r>
    </w:p>
    <w:p>
      <w:r>
        <w:t>The fictional workstation should remain in a remediation-required state until the unnecessary listening service is addressed and centralized log forwarding is validated. At the program level, leadership should support standardized baseline enforcement, controlled automation, formal exception management, recurring validation, and certificate lifecycle governance.</w:t>
      </w:r>
    </w:p>
    <w:p>
      <w:pPr>
        <w:pStyle w:val="Heading1"/>
      </w:pPr>
      <w:r>
        <w:t>Portfolio Disclaimer</w:t>
      </w:r>
    </w:p>
    <w:p>
      <w:r>
        <w:t>This executive brief is an original fictional cybersecurity portfolio artifact created for defensive education and professional demonstration. NovaCore Technologies, its systems, validation results, risks, metrics, and recommendations are fictional.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Gabryelle Walker | Linux System Hardening &amp; PKI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