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Security Configuration Validation Report</w:t>
      </w:r>
    </w:p>
    <w:p>
      <w:pPr>
        <w:jc w:val="center"/>
      </w:pPr>
      <w:r>
        <w:rPr>
          <w:i/>
        </w:rPr>
        <w:t>NovaCore Technologies (Fictional) | Cybersecurity Portfolio | Gabryelle Walker</w:t>
      </w:r>
    </w:p>
    <w:p>
      <w:pPr>
        <w:pStyle w:val="Heading1"/>
      </w:pPr>
      <w:r>
        <w:t>1. Executive Summary</w:t>
      </w:r>
    </w:p>
    <w:p>
      <w:r>
        <w:t>A post-hardening validation review was performed on a fictional Linux workstation to determine whether the approved NovaCore security baseline was applied successfully. The review evaluated system identification, time configuration, session security, process visibility, logging, patch status, privileged access, service exposure, and certificate-related controls. Most baseline controls passed validation. Two items require follow-up before final production approval: centralized log forwarding and removal of an unnecessary listening service.</w:t>
      </w:r>
    </w:p>
    <w:p>
      <w:pPr>
        <w:pStyle w:val="Heading1"/>
      </w:pPr>
      <w:r>
        <w:t>2. System Profile</w:t>
      </w:r>
    </w:p>
    <w:tbl>
      <w:tblPr>
        <w:tblStyle w:val="TableGrid"/>
        <w:tblW w:type="auto" w:w="0"/>
        <w:tblLook w:firstColumn="1" w:firstRow="1" w:lastColumn="0" w:lastRow="0" w:noHBand="0" w:noVBand="1" w:val="04A0"/>
      </w:tblPr>
      <w:tblGrid>
        <w:gridCol w:w="5040"/>
        <w:gridCol w:w="5040"/>
      </w:tblGrid>
      <w:tr>
        <w:tc>
          <w:tcPr>
            <w:tcW w:type="dxa" w:w="5040"/>
          </w:tcPr>
          <w:p>
            <w:r>
              <w:t>Asset ID</w:t>
            </w:r>
          </w:p>
        </w:tc>
        <w:tc>
          <w:tcPr>
            <w:tcW w:type="dxa" w:w="5040"/>
          </w:tcPr>
          <w:p>
            <w:r>
              <w:t>NC-LNX-014</w:t>
            </w:r>
          </w:p>
        </w:tc>
      </w:tr>
      <w:tr>
        <w:tc>
          <w:tcPr>
            <w:tcW w:type="dxa" w:w="5040"/>
          </w:tcPr>
          <w:p>
            <w:r>
              <w:t>Hostname</w:t>
            </w:r>
          </w:p>
        </w:tc>
        <w:tc>
          <w:tcPr>
            <w:tcW w:type="dxa" w:w="5040"/>
          </w:tcPr>
          <w:p>
            <w:r>
              <w:t>novacore-linux01</w:t>
            </w:r>
          </w:p>
        </w:tc>
      </w:tr>
      <w:tr>
        <w:tc>
          <w:tcPr>
            <w:tcW w:type="dxa" w:w="5040"/>
          </w:tcPr>
          <w:p>
            <w:r>
              <w:t>System Role</w:t>
            </w:r>
          </w:p>
        </w:tc>
        <w:tc>
          <w:tcPr>
            <w:tcW w:type="dxa" w:w="5040"/>
          </w:tcPr>
          <w:p>
            <w:r>
              <w:t>Analyst Workstation</w:t>
            </w:r>
          </w:p>
        </w:tc>
      </w:tr>
      <w:tr>
        <w:tc>
          <w:tcPr>
            <w:tcW w:type="dxa" w:w="5040"/>
          </w:tcPr>
          <w:p>
            <w:r>
              <w:t>Operating System</w:t>
            </w:r>
          </w:p>
        </w:tc>
        <w:tc>
          <w:tcPr>
            <w:tcW w:type="dxa" w:w="5040"/>
          </w:tcPr>
          <w:p>
            <w:r>
              <w:t>Ubuntu Linux (fictional lab asset)</w:t>
            </w:r>
          </w:p>
        </w:tc>
      </w:tr>
      <w:tr>
        <w:tc>
          <w:tcPr>
            <w:tcW w:type="dxa" w:w="5040"/>
          </w:tcPr>
          <w:p>
            <w:r>
              <w:t>Assessment Type</w:t>
            </w:r>
          </w:p>
        </w:tc>
        <w:tc>
          <w:tcPr>
            <w:tcW w:type="dxa" w:w="5040"/>
          </w:tcPr>
          <w:p>
            <w:r>
              <w:t>Post-hardening configuration validation</w:t>
            </w:r>
          </w:p>
        </w:tc>
      </w:tr>
    </w:tbl>
    <w:p>
      <w:pPr>
        <w:pStyle w:val="Heading1"/>
      </w:pPr>
      <w:r>
        <w:t>3. Validation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ID</w:t>
            </w:r>
          </w:p>
        </w:tc>
        <w:tc>
          <w:tcPr>
            <w:tcW w:type="dxa" w:w="2016"/>
          </w:tcPr>
          <w:p>
            <w:r>
              <w:t>Control</w:t>
            </w:r>
          </w:p>
        </w:tc>
        <w:tc>
          <w:tcPr>
            <w:tcW w:type="dxa" w:w="2016"/>
          </w:tcPr>
          <w:p>
            <w:r>
              <w:t>Result</w:t>
            </w:r>
          </w:p>
        </w:tc>
        <w:tc>
          <w:tcPr>
            <w:tcW w:type="dxa" w:w="2016"/>
          </w:tcPr>
          <w:p>
            <w:r>
              <w:t>Validation Evidence</w:t>
            </w:r>
          </w:p>
        </w:tc>
        <w:tc>
          <w:tcPr>
            <w:tcW w:type="dxa" w:w="2016"/>
          </w:tcPr>
          <w:p>
            <w:r>
              <w:t>Analyst Assessment</w:t>
            </w:r>
          </w:p>
        </w:tc>
      </w:tr>
      <w:tr>
        <w:tc>
          <w:tcPr>
            <w:tcW w:type="dxa" w:w="2016"/>
          </w:tcPr>
          <w:p>
            <w:r>
              <w:t>VAL-01</w:t>
            </w:r>
          </w:p>
        </w:tc>
        <w:tc>
          <w:tcPr>
            <w:tcW w:type="dxa" w:w="2016"/>
          </w:tcPr>
          <w:p>
            <w:r>
              <w:t>Standardized Hostname</w:t>
            </w:r>
          </w:p>
        </w:tc>
        <w:tc>
          <w:tcPr>
            <w:tcW w:type="dxa" w:w="2016"/>
          </w:tcPr>
          <w:p>
            <w:r>
              <w:t>PASS</w:t>
            </w:r>
          </w:p>
        </w:tc>
        <w:tc>
          <w:tcPr>
            <w:tcW w:type="dxa" w:w="2016"/>
          </w:tcPr>
          <w:p>
            <w:r>
              <w:t>System hostname matched the approved asset naming convention.</w:t>
            </w:r>
          </w:p>
        </w:tc>
        <w:tc>
          <w:tcPr>
            <w:tcW w:type="dxa" w:w="2016"/>
          </w:tcPr>
          <w:p>
            <w:r>
              <w:t>No corrective action required.</w:t>
            </w:r>
          </w:p>
        </w:tc>
      </w:tr>
      <w:tr>
        <w:tc>
          <w:tcPr>
            <w:tcW w:type="dxa" w:w="2016"/>
          </w:tcPr>
          <w:p>
            <w:r>
              <w:t>VAL-02</w:t>
            </w:r>
          </w:p>
        </w:tc>
        <w:tc>
          <w:tcPr>
            <w:tcW w:type="dxa" w:w="2016"/>
          </w:tcPr>
          <w:p>
            <w:r>
              <w:t>Time Configuration</w:t>
            </w:r>
          </w:p>
        </w:tc>
        <w:tc>
          <w:tcPr>
            <w:tcW w:type="dxa" w:w="2016"/>
          </w:tcPr>
          <w:p>
            <w:r>
              <w:t>PASS</w:t>
            </w:r>
          </w:p>
        </w:tc>
        <w:tc>
          <w:tcPr>
            <w:tcW w:type="dxa" w:w="2016"/>
          </w:tcPr>
          <w:p>
            <w:r>
              <w:t>Configured time zone matched the approved baseline and system time was available for event correlation.</w:t>
            </w:r>
          </w:p>
        </w:tc>
        <w:tc>
          <w:tcPr>
            <w:tcW w:type="dxa" w:w="2016"/>
          </w:tcPr>
          <w:p>
            <w:r>
              <w:t>No corrective action required.</w:t>
            </w:r>
          </w:p>
        </w:tc>
      </w:tr>
      <w:tr>
        <w:tc>
          <w:tcPr>
            <w:tcW w:type="dxa" w:w="2016"/>
          </w:tcPr>
          <w:p>
            <w:r>
              <w:t>VAL-03</w:t>
            </w:r>
          </w:p>
        </w:tc>
        <w:tc>
          <w:tcPr>
            <w:tcW w:type="dxa" w:w="2016"/>
          </w:tcPr>
          <w:p>
            <w:r>
              <w:t>Automatic Screen Lock</w:t>
            </w:r>
          </w:p>
        </w:tc>
        <w:tc>
          <w:tcPr>
            <w:tcW w:type="dxa" w:w="2016"/>
          </w:tcPr>
          <w:p>
            <w:r>
              <w:t>PASS</w:t>
            </w:r>
          </w:p>
        </w:tc>
        <w:tc>
          <w:tcPr>
            <w:tcW w:type="dxa" w:w="2016"/>
          </w:tcPr>
          <w:p>
            <w:r>
              <w:t>Graphical session lock was configured for the approved inactivity interval.</w:t>
            </w:r>
          </w:p>
        </w:tc>
        <w:tc>
          <w:tcPr>
            <w:tcW w:type="dxa" w:w="2016"/>
          </w:tcPr>
          <w:p>
            <w:r>
              <w:t>Control reduces unauthorized access to unattended sessions.</w:t>
            </w:r>
          </w:p>
        </w:tc>
      </w:tr>
      <w:tr>
        <w:tc>
          <w:tcPr>
            <w:tcW w:type="dxa" w:w="2016"/>
          </w:tcPr>
          <w:p>
            <w:r>
              <w:t>VAL-04</w:t>
            </w:r>
          </w:p>
        </w:tc>
        <w:tc>
          <w:tcPr>
            <w:tcW w:type="dxa" w:w="2016"/>
          </w:tcPr>
          <w:p>
            <w:r>
              <w:t>Process Visibility</w:t>
            </w:r>
          </w:p>
        </w:tc>
        <w:tc>
          <w:tcPr>
            <w:tcW w:type="dxa" w:w="2016"/>
          </w:tcPr>
          <w:p>
            <w:r>
              <w:t>PASS</w:t>
            </w:r>
          </w:p>
        </w:tc>
        <w:tc>
          <w:tcPr>
            <w:tcW w:type="dxa" w:w="2016"/>
          </w:tcPr>
          <w:p>
            <w:r>
              <w:t>Running-process inventory was successfully generated and retained as validation evidence.</w:t>
            </w:r>
          </w:p>
        </w:tc>
        <w:tc>
          <w:tcPr>
            <w:tcW w:type="dxa" w:w="2016"/>
          </w:tcPr>
          <w:p>
            <w:r>
              <w:t>Supports troubleshooting and security investigation.</w:t>
            </w:r>
          </w:p>
        </w:tc>
      </w:tr>
      <w:tr>
        <w:tc>
          <w:tcPr>
            <w:tcW w:type="dxa" w:w="2016"/>
          </w:tcPr>
          <w:p>
            <w:r>
              <w:t>VAL-05</w:t>
            </w:r>
          </w:p>
        </w:tc>
        <w:tc>
          <w:tcPr>
            <w:tcW w:type="dxa" w:w="2016"/>
          </w:tcPr>
          <w:p>
            <w:r>
              <w:t>Local Security Logging</w:t>
            </w:r>
          </w:p>
        </w:tc>
        <w:tc>
          <w:tcPr>
            <w:tcW w:type="dxa" w:w="2016"/>
          </w:tcPr>
          <w:p>
            <w:r>
              <w:t>PASS</w:t>
            </w:r>
          </w:p>
        </w:tc>
        <w:tc>
          <w:tcPr>
            <w:tcW w:type="dxa" w:w="2016"/>
          </w:tcPr>
          <w:p>
            <w:r>
              <w:t>Recent system log entries were successfully collected and reviewed.</w:t>
            </w:r>
          </w:p>
        </w:tc>
        <w:tc>
          <w:tcPr>
            <w:tcW w:type="dxa" w:w="2016"/>
          </w:tcPr>
          <w:p>
            <w:r>
              <w:t>Local logging is functioning.</w:t>
            </w:r>
          </w:p>
        </w:tc>
      </w:tr>
      <w:tr>
        <w:tc>
          <w:tcPr>
            <w:tcW w:type="dxa" w:w="2016"/>
          </w:tcPr>
          <w:p>
            <w:r>
              <w:t>VAL-06</w:t>
            </w:r>
          </w:p>
        </w:tc>
        <w:tc>
          <w:tcPr>
            <w:tcW w:type="dxa" w:w="2016"/>
          </w:tcPr>
          <w:p>
            <w:r>
              <w:t>Security Update Status</w:t>
            </w:r>
          </w:p>
        </w:tc>
        <w:tc>
          <w:tcPr>
            <w:tcW w:type="dxa" w:w="2016"/>
          </w:tcPr>
          <w:p>
            <w:r>
              <w:t>PASS</w:t>
            </w:r>
          </w:p>
        </w:tc>
        <w:tc>
          <w:tcPr>
            <w:tcW w:type="dxa" w:w="2016"/>
          </w:tcPr>
          <w:p>
            <w:r>
              <w:t>Installed package state was reviewed against the fictional approved deployment baseline.</w:t>
            </w:r>
          </w:p>
        </w:tc>
        <w:tc>
          <w:tcPr>
            <w:tcW w:type="dxa" w:w="2016"/>
          </w:tcPr>
          <w:p>
            <w:r>
              <w:t>Continue recurring patch review.</w:t>
            </w:r>
          </w:p>
        </w:tc>
      </w:tr>
      <w:tr>
        <w:tc>
          <w:tcPr>
            <w:tcW w:type="dxa" w:w="2016"/>
          </w:tcPr>
          <w:p>
            <w:r>
              <w:t>VAL-07</w:t>
            </w:r>
          </w:p>
        </w:tc>
        <w:tc>
          <w:tcPr>
            <w:tcW w:type="dxa" w:w="2016"/>
          </w:tcPr>
          <w:p>
            <w:r>
              <w:t>Privileged Access</w:t>
            </w:r>
          </w:p>
        </w:tc>
        <w:tc>
          <w:tcPr>
            <w:tcW w:type="dxa" w:w="2016"/>
          </w:tcPr>
          <w:p>
            <w:r>
              <w:t>PASS</w:t>
            </w:r>
          </w:p>
        </w:tc>
        <w:tc>
          <w:tcPr>
            <w:tcW w:type="dxa" w:w="2016"/>
          </w:tcPr>
          <w:p>
            <w:r>
              <w:t>Administrative access was limited to approved accounts in the fictional scenario.</w:t>
            </w:r>
          </w:p>
        </w:tc>
        <w:tc>
          <w:tcPr>
            <w:tcW w:type="dxa" w:w="2016"/>
          </w:tcPr>
          <w:p>
            <w:r>
              <w:t>Continue periodic privilege review.</w:t>
            </w:r>
          </w:p>
        </w:tc>
      </w:tr>
      <w:tr>
        <w:tc>
          <w:tcPr>
            <w:tcW w:type="dxa" w:w="2016"/>
          </w:tcPr>
          <w:p>
            <w:r>
              <w:t>VAL-08</w:t>
            </w:r>
          </w:p>
        </w:tc>
        <w:tc>
          <w:tcPr>
            <w:tcW w:type="dxa" w:w="2016"/>
          </w:tcPr>
          <w:p>
            <w:r>
              <w:t>Enabled Services</w:t>
            </w:r>
          </w:p>
        </w:tc>
        <w:tc>
          <w:tcPr>
            <w:tcW w:type="dxa" w:w="2016"/>
          </w:tcPr>
          <w:p>
            <w:r>
              <w:t>PASS</w:t>
            </w:r>
          </w:p>
        </w:tc>
        <w:tc>
          <w:tcPr>
            <w:tcW w:type="dxa" w:w="2016"/>
          </w:tcPr>
          <w:p>
            <w:r>
              <w:t>Enabled services were reviewed against the workstation's approved role.</w:t>
            </w:r>
          </w:p>
        </w:tc>
        <w:tc>
          <w:tcPr>
            <w:tcW w:type="dxa" w:w="2016"/>
          </w:tcPr>
          <w:p>
            <w:r>
              <w:t>No unexpected enabled service identified.</w:t>
            </w:r>
          </w:p>
        </w:tc>
      </w:tr>
      <w:tr>
        <w:tc>
          <w:tcPr>
            <w:tcW w:type="dxa" w:w="2016"/>
          </w:tcPr>
          <w:p>
            <w:r>
              <w:t>VAL-09</w:t>
            </w:r>
          </w:p>
        </w:tc>
        <w:tc>
          <w:tcPr>
            <w:tcW w:type="dxa" w:w="2016"/>
          </w:tcPr>
          <w:p>
            <w:r>
              <w:t>Listening Network Services</w:t>
            </w:r>
          </w:p>
        </w:tc>
        <w:tc>
          <w:tcPr>
            <w:tcW w:type="dxa" w:w="2016"/>
          </w:tcPr>
          <w:p>
            <w:r>
              <w:t>FAIL</w:t>
            </w:r>
          </w:p>
        </w:tc>
        <w:tc>
          <w:tcPr>
            <w:tcW w:type="dxa" w:w="2016"/>
          </w:tcPr>
          <w:p>
            <w:r>
              <w:t>One unnecessary fictional listening service was identified during socket review.</w:t>
            </w:r>
          </w:p>
        </w:tc>
        <w:tc>
          <w:tcPr>
            <w:tcW w:type="dxa" w:w="2016"/>
          </w:tcPr>
          <w:p>
            <w:r>
              <w:t>Disable the unnecessary service and retest listening ports before approval.</w:t>
            </w:r>
          </w:p>
        </w:tc>
      </w:tr>
      <w:tr>
        <w:tc>
          <w:tcPr>
            <w:tcW w:type="dxa" w:w="2016"/>
          </w:tcPr>
          <w:p>
            <w:r>
              <w:t>VAL-10</w:t>
            </w:r>
          </w:p>
        </w:tc>
        <w:tc>
          <w:tcPr>
            <w:tcW w:type="dxa" w:w="2016"/>
          </w:tcPr>
          <w:p>
            <w:r>
              <w:t>Host Firewall</w:t>
            </w:r>
          </w:p>
        </w:tc>
        <w:tc>
          <w:tcPr>
            <w:tcW w:type="dxa" w:w="2016"/>
          </w:tcPr>
          <w:p>
            <w:r>
              <w:t>PASS</w:t>
            </w:r>
          </w:p>
        </w:tc>
        <w:tc>
          <w:tcPr>
            <w:tcW w:type="dxa" w:w="2016"/>
          </w:tcPr>
          <w:p>
            <w:r>
              <w:t>Host firewall status and approved rules were reviewed.</w:t>
            </w:r>
          </w:p>
        </w:tc>
        <w:tc>
          <w:tcPr>
            <w:tcW w:type="dxa" w:w="2016"/>
          </w:tcPr>
          <w:p>
            <w:r>
              <w:t>Maintain approved rule set and change control.</w:t>
            </w:r>
          </w:p>
        </w:tc>
      </w:tr>
      <w:tr>
        <w:tc>
          <w:tcPr>
            <w:tcW w:type="dxa" w:w="2016"/>
          </w:tcPr>
          <w:p>
            <w:r>
              <w:t>VAL-11</w:t>
            </w:r>
          </w:p>
        </w:tc>
        <w:tc>
          <w:tcPr>
            <w:tcW w:type="dxa" w:w="2016"/>
          </w:tcPr>
          <w:p>
            <w:r>
              <w:t>Sensitive File Permissions</w:t>
            </w:r>
          </w:p>
        </w:tc>
        <w:tc>
          <w:tcPr>
            <w:tcW w:type="dxa" w:w="2016"/>
          </w:tcPr>
          <w:p>
            <w:r>
              <w:t>PASS</w:t>
            </w:r>
          </w:p>
        </w:tc>
        <w:tc>
          <w:tcPr>
            <w:tcW w:type="dxa" w:w="2016"/>
          </w:tcPr>
          <w:p>
            <w:r>
              <w:t>Selected sensitive configuration files used restricted ownership and permissions.</w:t>
            </w:r>
          </w:p>
        </w:tc>
        <w:tc>
          <w:tcPr>
            <w:tcW w:type="dxa" w:w="2016"/>
          </w:tcPr>
          <w:p>
            <w:r>
              <w:t>Continue configuration monitoring.</w:t>
            </w:r>
          </w:p>
        </w:tc>
      </w:tr>
      <w:tr>
        <w:tc>
          <w:tcPr>
            <w:tcW w:type="dxa" w:w="2016"/>
          </w:tcPr>
          <w:p>
            <w:r>
              <w:t>VAL-12</w:t>
            </w:r>
          </w:p>
        </w:tc>
        <w:tc>
          <w:tcPr>
            <w:tcW w:type="dxa" w:w="2016"/>
          </w:tcPr>
          <w:p>
            <w:r>
              <w:t>Remote Administration</w:t>
            </w:r>
          </w:p>
        </w:tc>
        <w:tc>
          <w:tcPr>
            <w:tcW w:type="dxa" w:w="2016"/>
          </w:tcPr>
          <w:p>
            <w:r>
              <w:t>PASS</w:t>
            </w:r>
          </w:p>
        </w:tc>
        <w:tc>
          <w:tcPr>
            <w:tcW w:type="dxa" w:w="2016"/>
          </w:tcPr>
          <w:p>
            <w:r>
              <w:t>Remote administration configuration was reviewed against the fictional secure-access standard.</w:t>
            </w:r>
          </w:p>
        </w:tc>
        <w:tc>
          <w:tcPr>
            <w:tcW w:type="dxa" w:w="2016"/>
          </w:tcPr>
          <w:p>
            <w:r>
              <w:t>Continue least-privilege and authentication reviews.</w:t>
            </w:r>
          </w:p>
        </w:tc>
      </w:tr>
      <w:tr>
        <w:tc>
          <w:tcPr>
            <w:tcW w:type="dxa" w:w="2016"/>
          </w:tcPr>
          <w:p>
            <w:r>
              <w:t>VAL-13</w:t>
            </w:r>
          </w:p>
        </w:tc>
        <w:tc>
          <w:tcPr>
            <w:tcW w:type="dxa" w:w="2016"/>
          </w:tcPr>
          <w:p>
            <w:r>
              <w:t>Certificate Trust</w:t>
            </w:r>
          </w:p>
        </w:tc>
        <w:tc>
          <w:tcPr>
            <w:tcW w:type="dxa" w:w="2016"/>
          </w:tcPr>
          <w:p>
            <w:r>
              <w:t>PASS</w:t>
            </w:r>
          </w:p>
        </w:tc>
        <w:tc>
          <w:tcPr>
            <w:tcW w:type="dxa" w:w="2016"/>
          </w:tcPr>
          <w:p>
            <w:r>
              <w:t>Fictional lab certificate subject, issuer, validity, and trust chain were reviewed.</w:t>
            </w:r>
          </w:p>
        </w:tc>
        <w:tc>
          <w:tcPr>
            <w:tcW w:type="dxa" w:w="2016"/>
          </w:tcPr>
          <w:p>
            <w:r>
              <w:t>Track certificate expiration and protect associated private keys.</w:t>
            </w:r>
          </w:p>
        </w:tc>
      </w:tr>
      <w:tr>
        <w:tc>
          <w:tcPr>
            <w:tcW w:type="dxa" w:w="2016"/>
          </w:tcPr>
          <w:p>
            <w:r>
              <w:t>VAL-14</w:t>
            </w:r>
          </w:p>
        </w:tc>
        <w:tc>
          <w:tcPr>
            <w:tcW w:type="dxa" w:w="2016"/>
          </w:tcPr>
          <w:p>
            <w:r>
              <w:t>Centralized Log Forwarding</w:t>
            </w:r>
          </w:p>
        </w:tc>
        <w:tc>
          <w:tcPr>
            <w:tcW w:type="dxa" w:w="2016"/>
          </w:tcPr>
          <w:p>
            <w:r>
              <w:t>FAIL</w:t>
            </w:r>
          </w:p>
        </w:tc>
        <w:tc>
          <w:tcPr>
            <w:tcW w:type="dxa" w:w="2016"/>
          </w:tcPr>
          <w:p>
            <w:r>
              <w:t>Local logging was available, but centralized forwarding had not yet been enabled in the fictional environment.</w:t>
            </w:r>
          </w:p>
        </w:tc>
        <w:tc>
          <w:tcPr>
            <w:tcW w:type="dxa" w:w="2016"/>
          </w:tcPr>
          <w:p>
            <w:r>
              <w:t>Configure approved log forwarding and verify successful event ingestion.</w:t>
            </w:r>
          </w:p>
        </w:tc>
      </w:tr>
    </w:tbl>
    <w:p>
      <w:pPr>
        <w:pStyle w:val="Heading1"/>
      </w:pPr>
      <w:r>
        <w:t>4. Findings Requiring Remediation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Finding</w:t>
            </w:r>
          </w:p>
        </w:tc>
        <w:tc>
          <w:tcPr>
            <w:tcW w:type="dxa" w:w="1680"/>
          </w:tcPr>
          <w:p>
            <w:r>
              <w:t>Risk</w:t>
            </w:r>
          </w:p>
        </w:tc>
        <w:tc>
          <w:tcPr>
            <w:tcW w:type="dxa" w:w="1680"/>
          </w:tcPr>
          <w:p>
            <w:r>
              <w:t>Corrective Action</w:t>
            </w:r>
          </w:p>
        </w:tc>
        <w:tc>
          <w:tcPr>
            <w:tcW w:type="dxa" w:w="1680"/>
          </w:tcPr>
          <w:p>
            <w:r>
              <w:t>Owner</w:t>
            </w:r>
          </w:p>
        </w:tc>
        <w:tc>
          <w:tcPr>
            <w:tcW w:type="dxa" w:w="1680"/>
          </w:tcPr>
          <w:p>
            <w:r>
              <w:t>Target</w:t>
            </w:r>
          </w:p>
        </w:tc>
        <w:tc>
          <w:tcPr>
            <w:tcW w:type="dxa" w:w="1680"/>
          </w:tcPr>
          <w:p>
            <w:r>
              <w:t>Retest</w:t>
            </w:r>
          </w:p>
        </w:tc>
      </w:tr>
      <w:tr>
        <w:tc>
          <w:tcPr>
            <w:tcW w:type="dxa" w:w="1680"/>
          </w:tcPr>
          <w:p>
            <w:r>
              <w:t>Unnecessary listening service</w:t>
            </w:r>
          </w:p>
        </w:tc>
        <w:tc>
          <w:tcPr>
            <w:tcW w:type="dxa" w:w="1680"/>
          </w:tcPr>
          <w:p>
            <w:r>
              <w:t>Medium</w:t>
            </w:r>
          </w:p>
        </w:tc>
        <w:tc>
          <w:tcPr>
            <w:tcW w:type="dxa" w:w="1680"/>
          </w:tcPr>
          <w:p>
            <w:r>
              <w:t>Disable the service if not required, confirm it does not restart automatically, and recheck listening sockets.</w:t>
            </w:r>
          </w:p>
        </w:tc>
        <w:tc>
          <w:tcPr>
            <w:tcW w:type="dxa" w:w="1680"/>
          </w:tcPr>
          <w:p>
            <w:r>
              <w:t>Linux Administration</w:t>
            </w:r>
          </w:p>
        </w:tc>
        <w:tc>
          <w:tcPr>
            <w:tcW w:type="dxa" w:w="1680"/>
          </w:tcPr>
          <w:p>
            <w:r>
              <w:t>7 days</w:t>
            </w:r>
          </w:p>
        </w:tc>
        <w:tc>
          <w:tcPr>
            <w:tcW w:type="dxa" w:w="1680"/>
          </w:tcPr>
          <w:p>
            <w:r>
              <w:t>Required</w:t>
            </w:r>
          </w:p>
        </w:tc>
      </w:tr>
      <w:tr>
        <w:tc>
          <w:tcPr>
            <w:tcW w:type="dxa" w:w="1680"/>
          </w:tcPr>
          <w:p>
            <w:r>
              <w:t>Centralized log forwarding not configured</w:t>
            </w:r>
          </w:p>
        </w:tc>
        <w:tc>
          <w:tcPr>
            <w:tcW w:type="dxa" w:w="1680"/>
          </w:tcPr>
          <w:p>
            <w:r>
              <w:t>Medium</w:t>
            </w:r>
          </w:p>
        </w:tc>
        <w:tc>
          <w:tcPr>
            <w:tcW w:type="dxa" w:w="1680"/>
          </w:tcPr>
          <w:p>
            <w:r>
              <w:t>Configure the approved log-forwarding method and verify that a test event reaches centralized monitoring.</w:t>
            </w:r>
          </w:p>
        </w:tc>
        <w:tc>
          <w:tcPr>
            <w:tcW w:type="dxa" w:w="1680"/>
          </w:tcPr>
          <w:p>
            <w:r>
              <w:t>Security Operations</w:t>
            </w:r>
          </w:p>
        </w:tc>
        <w:tc>
          <w:tcPr>
            <w:tcW w:type="dxa" w:w="1680"/>
          </w:tcPr>
          <w:p>
            <w:r>
              <w:t>14 days</w:t>
            </w:r>
          </w:p>
        </w:tc>
        <w:tc>
          <w:tcPr>
            <w:tcW w:type="dxa" w:w="1680"/>
          </w:tcPr>
          <w:p>
            <w:r>
              <w:t>Required</w:t>
            </w:r>
          </w:p>
        </w:tc>
      </w:tr>
    </w:tbl>
    <w:p>
      <w:pPr>
        <w:pStyle w:val="Heading1"/>
      </w:pPr>
      <w:r>
        <w:t>5. Validation Summary</w:t>
      </w:r>
    </w:p>
    <w:tbl>
      <w:tblPr>
        <w:tblStyle w:val="TableGrid"/>
        <w:tblW w:type="auto" w:w="0"/>
        <w:tblLook w:firstColumn="1" w:firstRow="1" w:lastColumn="0" w:lastRow="0" w:noHBand="0" w:noVBand="1" w:val="04A0"/>
      </w:tblPr>
      <w:tblGrid>
        <w:gridCol w:w="5040"/>
        <w:gridCol w:w="5040"/>
      </w:tblGrid>
      <w:tr>
        <w:tc>
          <w:tcPr>
            <w:tcW w:type="dxa" w:w="5040"/>
          </w:tcPr>
          <w:p>
            <w:r>
              <w:t>Controls Evaluated</w:t>
            </w:r>
          </w:p>
        </w:tc>
        <w:tc>
          <w:tcPr>
            <w:tcW w:type="dxa" w:w="5040"/>
          </w:tcPr>
          <w:p>
            <w:r>
              <w:t>14</w:t>
            </w:r>
          </w:p>
        </w:tc>
      </w:tr>
      <w:tr>
        <w:tc>
          <w:tcPr>
            <w:tcW w:type="dxa" w:w="5040"/>
          </w:tcPr>
          <w:p>
            <w:r>
              <w:t>Passed</w:t>
            </w:r>
          </w:p>
        </w:tc>
        <w:tc>
          <w:tcPr>
            <w:tcW w:type="dxa" w:w="5040"/>
          </w:tcPr>
          <w:p>
            <w:r>
              <w:t>12</w:t>
            </w:r>
          </w:p>
        </w:tc>
      </w:tr>
      <w:tr>
        <w:tc>
          <w:tcPr>
            <w:tcW w:type="dxa" w:w="5040"/>
          </w:tcPr>
          <w:p>
            <w:r>
              <w:t>Failed / Follow-Up Required</w:t>
            </w:r>
          </w:p>
        </w:tc>
        <w:tc>
          <w:tcPr>
            <w:tcW w:type="dxa" w:w="5040"/>
          </w:tcPr>
          <w:p>
            <w:r>
              <w:t>2</w:t>
            </w:r>
          </w:p>
        </w:tc>
      </w:tr>
      <w:tr>
        <w:tc>
          <w:tcPr>
            <w:tcW w:type="dxa" w:w="5040"/>
          </w:tcPr>
          <w:p>
            <w:r>
              <w:t>Overall Status</w:t>
            </w:r>
          </w:p>
        </w:tc>
        <w:tc>
          <w:tcPr>
            <w:tcW w:type="dxa" w:w="5040"/>
          </w:tcPr>
          <w:p>
            <w:r>
              <w:t>Remediation Required Before Final Approval</w:t>
            </w:r>
          </w:p>
        </w:tc>
      </w:tr>
    </w:tbl>
    <w:p>
      <w:pPr>
        <w:pStyle w:val="Heading1"/>
      </w:pPr>
      <w:r>
        <w:t>6. Recommended Next Actions</w:t>
      </w:r>
    </w:p>
    <w:p>
      <w:pPr>
        <w:pStyle w:val="ListBullet"/>
      </w:pPr>
      <w:r>
        <w:t>Disable the unnecessary listening service and confirm that the service remains disabled after restart.</w:t>
      </w:r>
    </w:p>
    <w:p>
      <w:pPr>
        <w:pStyle w:val="ListBullet"/>
      </w:pPr>
      <w:r>
        <w:t>Configure centralized security-log forwarding and verify successful ingestion of a test event.</w:t>
      </w:r>
    </w:p>
    <w:p>
      <w:pPr>
        <w:pStyle w:val="ListBullet"/>
      </w:pPr>
      <w:r>
        <w:t>Retest both failed controls and attach validation evidence.</w:t>
      </w:r>
    </w:p>
    <w:p>
      <w:pPr>
        <w:pStyle w:val="ListBullet"/>
      </w:pPr>
      <w:r>
        <w:t>Update the hardening checklist and configuration record after successful remediation.</w:t>
      </w:r>
    </w:p>
    <w:p>
      <w:pPr>
        <w:pStyle w:val="ListBullet"/>
      </w:pPr>
      <w:r>
        <w:t>Approve the workstation for production use only after required controls pass or an authorized exception is documented.</w:t>
      </w:r>
    </w:p>
    <w:p>
      <w:pPr>
        <w:pStyle w:val="Heading1"/>
      </w:pPr>
      <w:r>
        <w:t>7. Analyst Conclusion</w:t>
      </w:r>
    </w:p>
    <w:p>
      <w:r>
        <w:t>The fictional workstation demonstrates substantial alignment with the NovaCore Linux security baseline, including standardized configuration, session protection, local logging, process visibility, privilege controls, and certificate validation. However, validation identified two control gaps that should remain open until corrective action is independently verified. This illustrates why security hardening should include a formal validation stage rather than treating successful script execution as proof of compliance.</w:t>
      </w:r>
    </w:p>
    <w:p>
      <w:pPr>
        <w:pStyle w:val="Heading1"/>
      </w:pPr>
      <w:r>
        <w:t>Portfolio Disclaimer</w:t>
      </w:r>
    </w:p>
    <w:p>
      <w:r>
        <w:t>This report is an original fictional cybersecurity portfolio artifact created for defensive education and professional demonstration. NovaCore Technologies, the asset, validation evidence, findings, owners, and results are fictional and do not represent a production system.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Linux System Hardening &amp; PKI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