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Security Awareness &amp; Training Plan</w:t>
      </w:r>
    </w:p>
    <w:p>
      <w:pPr>
        <w:jc w:val="center"/>
      </w:pPr>
      <w:r>
        <w:rPr>
          <w:i/>
          <w:sz w:val="21"/>
        </w:rPr>
        <w:t>Phishing &amp; Social Engineering Risk Assessment | Gabryelle Walker</w:t>
      </w:r>
    </w:p>
    <w:p>
      <w:pPr>
        <w:pStyle w:val="Heading1"/>
      </w:pPr>
      <w:r>
        <w:t>1. Purpose</w:t>
      </w:r>
    </w:p>
    <w:p>
      <w:r>
        <w:t>This plan establishes a security awareness and training program for a fictional enterprise. It is designed to reduce phishing and social engineering risk by improving employee recognition, verification, reporting, and response behaviors while reinforcing technical security controls.</w:t>
      </w:r>
    </w:p>
    <w:p>
      <w:pPr>
        <w:pStyle w:val="Heading1"/>
      </w:pPr>
      <w:r>
        <w:t>2. Program Objectives</w:t>
      </w:r>
    </w:p>
    <w:p>
      <w:pPr>
        <w:pStyle w:val="ListBullet"/>
      </w:pPr>
      <w:r>
        <w:t>Increase employee ability to recognize phishing, spear phishing, BEC, smishing, QR phishing, MFA fatigue, and impersonation attempts.</w:t>
      </w:r>
    </w:p>
    <w:p>
      <w:pPr>
        <w:pStyle w:val="ListBullet"/>
      </w:pPr>
      <w:r>
        <w:t>Build consistent verification habits for credential, payment, banking, and sensitive-data requests.</w:t>
      </w:r>
    </w:p>
    <w:p>
      <w:pPr>
        <w:pStyle w:val="ListBullet"/>
      </w:pPr>
      <w:r>
        <w:t>Increase timely reporting of suspicious communications.</w:t>
      </w:r>
    </w:p>
    <w:p>
      <w:pPr>
        <w:pStyle w:val="ListBullet"/>
      </w:pPr>
      <w:r>
        <w:t>Reduce risky interaction with malicious links, attachments, and authentication requests.</w:t>
      </w:r>
    </w:p>
    <w:p>
      <w:pPr>
        <w:pStyle w:val="ListBullet"/>
      </w:pPr>
      <w:r>
        <w:t>Use measurable results to improve training and security controls over time.</w:t>
      </w:r>
    </w:p>
    <w:p>
      <w:pPr>
        <w:pStyle w:val="Heading1"/>
      </w:pPr>
      <w:r>
        <w:t>3. Audience and Risk-Based Training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Audience</w:t>
            </w:r>
          </w:p>
        </w:tc>
        <w:tc>
          <w:tcPr>
            <w:tcW w:type="dxa" w:w="2520"/>
          </w:tcPr>
          <w:p>
            <w:r>
              <w:t>Primary Risk</w:t>
            </w:r>
          </w:p>
        </w:tc>
        <w:tc>
          <w:tcPr>
            <w:tcW w:type="dxa" w:w="2520"/>
          </w:tcPr>
          <w:p>
            <w:r>
              <w:t>Training Focus</w:t>
            </w:r>
          </w:p>
        </w:tc>
        <w:tc>
          <w:tcPr>
            <w:tcW w:type="dxa" w:w="2520"/>
          </w:tcPr>
          <w:p>
            <w:r>
              <w:t>Frequency</w:t>
            </w:r>
          </w:p>
        </w:tc>
      </w:tr>
      <w:tr>
        <w:tc>
          <w:tcPr>
            <w:tcW w:type="dxa" w:w="2520"/>
          </w:tcPr>
          <w:p>
            <w:r>
              <w:t>All Employees</w:t>
            </w:r>
          </w:p>
        </w:tc>
        <w:tc>
          <w:tcPr>
            <w:tcW w:type="dxa" w:w="2520"/>
          </w:tcPr>
          <w:p>
            <w:r>
              <w:t>General phishing and credential theft</w:t>
            </w:r>
          </w:p>
        </w:tc>
        <w:tc>
          <w:tcPr>
            <w:tcW w:type="dxa" w:w="2520"/>
          </w:tcPr>
          <w:p>
            <w:r>
              <w:t>Message red flags, links/attachments, MFA prompts, reporting</w:t>
            </w:r>
          </w:p>
        </w:tc>
        <w:tc>
          <w:tcPr>
            <w:tcW w:type="dxa" w:w="2520"/>
          </w:tcPr>
          <w:p>
            <w:r>
              <w:t>Onboarding + quarterly microlearning</w:t>
            </w:r>
          </w:p>
        </w:tc>
      </w:tr>
      <w:tr>
        <w:tc>
          <w:tcPr>
            <w:tcW w:type="dxa" w:w="2520"/>
          </w:tcPr>
          <w:p>
            <w:r>
              <w:t>Finance / Accounts Payable</w:t>
            </w:r>
          </w:p>
        </w:tc>
        <w:tc>
          <w:tcPr>
            <w:tcW w:type="dxa" w:w="2520"/>
          </w:tcPr>
          <w:p>
            <w:r>
              <w:t>BEC and vendor impersonation</w:t>
            </w:r>
          </w:p>
        </w:tc>
        <w:tc>
          <w:tcPr>
            <w:tcW w:type="dxa" w:w="2520"/>
          </w:tcPr>
          <w:p>
            <w:r>
              <w:t>Payment verification, bank-detail changes, executive impersonation</w:t>
            </w:r>
          </w:p>
        </w:tc>
        <w:tc>
          <w:tcPr>
            <w:tcW w:type="dxa" w:w="2520"/>
          </w:tcPr>
          <w:p>
            <w:r>
              <w:t>Quarterly + targeted simulations</w:t>
            </w:r>
          </w:p>
        </w:tc>
      </w:tr>
      <w:tr>
        <w:tc>
          <w:tcPr>
            <w:tcW w:type="dxa" w:w="2520"/>
          </w:tcPr>
          <w:p>
            <w:r>
              <w:t>IT / Help Desk</w:t>
            </w:r>
          </w:p>
        </w:tc>
        <w:tc>
          <w:tcPr>
            <w:tcW w:type="dxa" w:w="2520"/>
          </w:tcPr>
          <w:p>
            <w:r>
              <w:t>Pretexting and account takeover</w:t>
            </w:r>
          </w:p>
        </w:tc>
        <w:tc>
          <w:tcPr>
            <w:tcW w:type="dxa" w:w="2520"/>
          </w:tcPr>
          <w:p>
            <w:r>
              <w:t>Identity verification, password resets, MFA abuse, escalation</w:t>
            </w:r>
          </w:p>
        </w:tc>
        <w:tc>
          <w:tcPr>
            <w:tcW w:type="dxa" w:w="2520"/>
          </w:tcPr>
          <w:p>
            <w:r>
              <w:t>Quarterly</w:t>
            </w:r>
          </w:p>
        </w:tc>
      </w:tr>
      <w:tr>
        <w:tc>
          <w:tcPr>
            <w:tcW w:type="dxa" w:w="2520"/>
          </w:tcPr>
          <w:p>
            <w:r>
              <w:t>Privileged Administrators</w:t>
            </w:r>
          </w:p>
        </w:tc>
        <w:tc>
          <w:tcPr>
            <w:tcW w:type="dxa" w:w="2520"/>
          </w:tcPr>
          <w:p>
            <w:r>
              <w:t>Spear phishing and privileged compromise</w:t>
            </w:r>
          </w:p>
        </w:tc>
        <w:tc>
          <w:tcPr>
            <w:tcW w:type="dxa" w:w="2520"/>
          </w:tcPr>
          <w:p>
            <w:r>
              <w:t>Targeted phishing, PAM, phishing-resistant MFA, secure admin workflows</w:t>
            </w:r>
          </w:p>
        </w:tc>
        <w:tc>
          <w:tcPr>
            <w:tcW w:type="dxa" w:w="2520"/>
          </w:tcPr>
          <w:p>
            <w:r>
              <w:t>Quarterly</w:t>
            </w:r>
          </w:p>
        </w:tc>
      </w:tr>
      <w:tr>
        <w:tc>
          <w:tcPr>
            <w:tcW w:type="dxa" w:w="2520"/>
          </w:tcPr>
          <w:p>
            <w:r>
              <w:t>Executives / Assistants</w:t>
            </w:r>
          </w:p>
        </w:tc>
        <w:tc>
          <w:tcPr>
            <w:tcW w:type="dxa" w:w="2520"/>
          </w:tcPr>
          <w:p>
            <w:r>
              <w:t>Executive impersonation and sensitive requests</w:t>
            </w:r>
          </w:p>
        </w:tc>
        <w:tc>
          <w:tcPr>
            <w:tcW w:type="dxa" w:w="2520"/>
          </w:tcPr>
          <w:p>
            <w:r>
              <w:t>BEC, messaging impersonation, travel/context-based social engineering</w:t>
            </w:r>
          </w:p>
        </w:tc>
        <w:tc>
          <w:tcPr>
            <w:tcW w:type="dxa" w:w="2520"/>
          </w:tcPr>
          <w:p>
            <w:r>
              <w:t>Semiannual + targeted simulations</w:t>
            </w:r>
          </w:p>
        </w:tc>
      </w:tr>
    </w:tbl>
    <w:p>
      <w:pPr>
        <w:pStyle w:val="Heading1"/>
      </w:pPr>
      <w:r>
        <w:t>4. Core Training Curriculum</w:t>
      </w:r>
    </w:p>
    <w:p>
      <w:pPr>
        <w:pStyle w:val="ListBullet"/>
      </w:pPr>
      <w:r>
        <w:rPr>
          <w:b/>
        </w:rPr>
        <w:t xml:space="preserve">Recognizing Social Engineering: </w:t>
      </w:r>
      <w:r>
        <w:t>Urgency, authority, fear, secrecy, curiosity, unexpected requests, and impersonation.</w:t>
      </w:r>
    </w:p>
    <w:p>
      <w:pPr>
        <w:pStyle w:val="ListBullet"/>
      </w:pPr>
      <w:r>
        <w:rPr>
          <w:b/>
        </w:rPr>
        <w:t xml:space="preserve">Email and Message Inspection: </w:t>
      </w:r>
      <w:r>
        <w:t>Sender domains, display-name spoofing, unexpected links, attachments, QR codes, and external-sender indicators.</w:t>
      </w:r>
    </w:p>
    <w:p>
      <w:pPr>
        <w:pStyle w:val="ListBullet"/>
      </w:pPr>
      <w:r>
        <w:rPr>
          <w:b/>
        </w:rPr>
        <w:t xml:space="preserve">Credential &amp; MFA Protection: </w:t>
      </w:r>
      <w:r>
        <w:t>Never entering credentials from unsolicited prompts; denying unexpected MFA requests; using approved sign-in portals.</w:t>
      </w:r>
    </w:p>
    <w:p>
      <w:pPr>
        <w:pStyle w:val="ListBullet"/>
      </w:pPr>
      <w:r>
        <w:rPr>
          <w:b/>
        </w:rPr>
        <w:t xml:space="preserve">Financial Verification: </w:t>
      </w:r>
      <w:r>
        <w:t>Independent verification and dual approval for payment instructions, bank changes, gift cards, and unusual executive requests.</w:t>
      </w:r>
    </w:p>
    <w:p>
      <w:pPr>
        <w:pStyle w:val="ListBullet"/>
      </w:pPr>
      <w:r>
        <w:rPr>
          <w:b/>
        </w:rPr>
        <w:t xml:space="preserve">Safe Reporting: </w:t>
      </w:r>
      <w:r>
        <w:t>Using the organization's report-phish mechanism and contacting security/help desk through known channels.</w:t>
      </w:r>
    </w:p>
    <w:p>
      <w:pPr>
        <w:pStyle w:val="ListBullet"/>
      </w:pPr>
      <w:r>
        <w:rPr>
          <w:b/>
        </w:rPr>
        <w:t xml:space="preserve">Post-Click Response: </w:t>
      </w:r>
      <w:r>
        <w:t>Immediate reporting after a click, credential submission, attachment execution, or accidental MFA approval without fear of punishment.</w:t>
      </w:r>
    </w:p>
    <w:p>
      <w:pPr>
        <w:pStyle w:val="Heading1"/>
      </w:pPr>
      <w:r>
        <w:t>5. Phishing Simulation Program</w:t>
      </w:r>
    </w:p>
    <w:p>
      <w:r>
        <w:t>Simulations should be authorized, controlled, nonpunitive, and designed to measure behavior rather than embarrass employees. Scenarios should reflect risks identified in the project, including credential harvesting, BEC, vendor impersonation, fake shared documents, QR phishing, and MFA-related social engineering. Results should be used to identify training needs and control gaps.</w:t>
      </w:r>
    </w:p>
    <w:p>
      <w:pPr>
        <w:pStyle w:val="ListBullet"/>
      </w:pPr>
      <w:r>
        <w:t>Establish a baseline simulation before targeted training.</w:t>
      </w:r>
    </w:p>
    <w:p>
      <w:pPr>
        <w:pStyle w:val="ListBullet"/>
      </w:pPr>
      <w:r>
        <w:t>Run periodic simulations with varied difficulty and business context.</w:t>
      </w:r>
    </w:p>
    <w:p>
      <w:pPr>
        <w:pStyle w:val="ListBullet"/>
      </w:pPr>
      <w:r>
        <w:t>Provide immediate educational feedback after simulated risky actions.</w:t>
      </w:r>
    </w:p>
    <w:p>
      <w:pPr>
        <w:pStyle w:val="ListBullet"/>
      </w:pPr>
      <w:r>
        <w:t>Assign focused refresher training when patterns indicate additional support is needed.</w:t>
      </w:r>
    </w:p>
    <w:p>
      <w:pPr>
        <w:pStyle w:val="ListBullet"/>
      </w:pPr>
      <w:r>
        <w:t>Avoid collecting real passwords or exposing employees to live malicious content.</w:t>
      </w:r>
    </w:p>
    <w:p>
      <w:pPr>
        <w:pStyle w:val="Heading1"/>
      </w:pPr>
      <w:r>
        <w:t>6. Reporting and Escalation</w:t>
      </w:r>
    </w:p>
    <w:p>
      <w:r>
        <w:t>Employees should have a simple reporting path. A suspicious message should be reported through the approved phishing-reporting mechanism. Security personnel should triage the message, evaluate sender and link indicators, determine whether other recipients were targeted, and escalate confirmed incidents according to the incident response process. Employees who accidentally interact with a suspicious message should report it immediately so containment can begin.</w:t>
      </w:r>
    </w:p>
    <w:p>
      <w:pPr>
        <w:pStyle w:val="Heading1"/>
      </w:pPr>
      <w:r>
        <w:t>7. Program Metrics</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Purpose</w:t>
            </w:r>
          </w:p>
        </w:tc>
        <w:tc>
          <w:tcPr>
            <w:tcW w:type="dxa" w:w="3360"/>
          </w:tcPr>
          <w:p>
            <w:r>
              <w:t>Desired Direction</w:t>
            </w:r>
          </w:p>
        </w:tc>
      </w:tr>
      <w:tr>
        <w:tc>
          <w:tcPr>
            <w:tcW w:type="dxa" w:w="3360"/>
          </w:tcPr>
          <w:p>
            <w:r>
              <w:t>Simulation click rate</w:t>
            </w:r>
          </w:p>
        </w:tc>
        <w:tc>
          <w:tcPr>
            <w:tcW w:type="dxa" w:w="3360"/>
          </w:tcPr>
          <w:p>
            <w:r>
              <w:t>Measures interaction with simulated malicious links</w:t>
            </w:r>
          </w:p>
        </w:tc>
        <w:tc>
          <w:tcPr>
            <w:tcW w:type="dxa" w:w="3360"/>
          </w:tcPr>
          <w:p>
            <w:r>
              <w:t>Decrease</w:t>
            </w:r>
          </w:p>
        </w:tc>
      </w:tr>
      <w:tr>
        <w:tc>
          <w:tcPr>
            <w:tcW w:type="dxa" w:w="3360"/>
          </w:tcPr>
          <w:p>
            <w:r>
              <w:t>Credential submission rate</w:t>
            </w:r>
          </w:p>
        </w:tc>
        <w:tc>
          <w:tcPr>
            <w:tcW w:type="dxa" w:w="3360"/>
          </w:tcPr>
          <w:p>
            <w:r>
              <w:t>Measures high-risk simulated credential behavior</w:t>
            </w:r>
          </w:p>
        </w:tc>
        <w:tc>
          <w:tcPr>
            <w:tcW w:type="dxa" w:w="3360"/>
          </w:tcPr>
          <w:p>
            <w:r>
              <w:t>Decrease</w:t>
            </w:r>
          </w:p>
        </w:tc>
      </w:tr>
      <w:tr>
        <w:tc>
          <w:tcPr>
            <w:tcW w:type="dxa" w:w="3360"/>
          </w:tcPr>
          <w:p>
            <w:r>
              <w:t>Phishing reporting rate</w:t>
            </w:r>
          </w:p>
        </w:tc>
        <w:tc>
          <w:tcPr>
            <w:tcW w:type="dxa" w:w="3360"/>
          </w:tcPr>
          <w:p>
            <w:r>
              <w:t>Measures employee recognition and reporting</w:t>
            </w:r>
          </w:p>
        </w:tc>
        <w:tc>
          <w:tcPr>
            <w:tcW w:type="dxa" w:w="3360"/>
          </w:tcPr>
          <w:p>
            <w:r>
              <w:t>Increase</w:t>
            </w:r>
          </w:p>
        </w:tc>
      </w:tr>
      <w:tr>
        <w:tc>
          <w:tcPr>
            <w:tcW w:type="dxa" w:w="3360"/>
          </w:tcPr>
          <w:p>
            <w:r>
              <w:t>Median time to report</w:t>
            </w:r>
          </w:p>
        </w:tc>
        <w:tc>
          <w:tcPr>
            <w:tcW w:type="dxa" w:w="3360"/>
          </w:tcPr>
          <w:p>
            <w:r>
              <w:t>Measures how quickly suspicious messages reach security</w:t>
            </w:r>
          </w:p>
        </w:tc>
        <w:tc>
          <w:tcPr>
            <w:tcW w:type="dxa" w:w="3360"/>
          </w:tcPr>
          <w:p>
            <w:r>
              <w:t>Decrease</w:t>
            </w:r>
          </w:p>
        </w:tc>
      </w:tr>
      <w:tr>
        <w:tc>
          <w:tcPr>
            <w:tcW w:type="dxa" w:w="3360"/>
          </w:tcPr>
          <w:p>
            <w:r>
              <w:t>Training completion rate</w:t>
            </w:r>
          </w:p>
        </w:tc>
        <w:tc>
          <w:tcPr>
            <w:tcW w:type="dxa" w:w="3360"/>
          </w:tcPr>
          <w:p>
            <w:r>
              <w:t>Measures participation in required education</w:t>
            </w:r>
          </w:p>
        </w:tc>
        <w:tc>
          <w:tcPr>
            <w:tcW w:type="dxa" w:w="3360"/>
          </w:tcPr>
          <w:p>
            <w:r>
              <w:t>Increase</w:t>
            </w:r>
          </w:p>
        </w:tc>
      </w:tr>
      <w:tr>
        <w:tc>
          <w:tcPr>
            <w:tcW w:type="dxa" w:w="3360"/>
          </w:tcPr>
          <w:p>
            <w:r>
              <w:t>Repeat-risk rate</w:t>
            </w:r>
          </w:p>
        </w:tc>
        <w:tc>
          <w:tcPr>
            <w:tcW w:type="dxa" w:w="3360"/>
          </w:tcPr>
          <w:p>
            <w:r>
              <w:t>Identifies recurring risky behavior requiring targeted support</w:t>
            </w:r>
          </w:p>
        </w:tc>
        <w:tc>
          <w:tcPr>
            <w:tcW w:type="dxa" w:w="3360"/>
          </w:tcPr>
          <w:p>
            <w:r>
              <w:t>Decrease</w:t>
            </w:r>
          </w:p>
        </w:tc>
      </w:tr>
    </w:tbl>
    <w:p>
      <w:pPr>
        <w:pStyle w:val="Heading1"/>
      </w:pPr>
      <w:r>
        <w:t>8. Governance and Continuous Improvement</w:t>
      </w:r>
    </w:p>
    <w:p>
      <w:r>
        <w:t>Security awareness should operate as an ongoing risk-management process. Security teams should review simulation trends, incident data, reported phishing themes, and changes in the threat landscape. Training content should be updated when new attack patterns emerge or when metrics show persistent weaknesses. Leadership should receive periodic summaries focused on risk trends, improvement, and areas requiring investment.</w:t>
      </w:r>
    </w:p>
    <w:p>
      <w:pPr>
        <w:pStyle w:val="Heading1"/>
      </w:pPr>
      <w:r>
        <w:t>9. Success Criteria</w:t>
      </w:r>
    </w:p>
    <w:p>
      <w:pPr>
        <w:pStyle w:val="ListBullet"/>
      </w:pPr>
      <w:r>
        <w:t>Employees can identify common social engineering indicators and know how to verify suspicious requests.</w:t>
      </w:r>
    </w:p>
    <w:p>
      <w:pPr>
        <w:pStyle w:val="ListBullet"/>
      </w:pPr>
      <w:r>
        <w:t>Reporting becomes faster and more frequent.</w:t>
      </w:r>
    </w:p>
    <w:p>
      <w:pPr>
        <w:pStyle w:val="ListBullet"/>
      </w:pPr>
      <w:r>
        <w:t>High-risk simulation behaviors decline over successive measurement periods.</w:t>
      </w:r>
    </w:p>
    <w:p>
      <w:pPr>
        <w:pStyle w:val="ListBullet"/>
      </w:pPr>
      <w:r>
        <w:t>Targeted teams demonstrate stronger controls around payments, identity verification, and privileged access.</w:t>
      </w:r>
    </w:p>
    <w:p>
      <w:pPr>
        <w:pStyle w:val="ListBullet"/>
      </w:pPr>
      <w:r>
        <w:t>Security awareness metrics are incorporated into broader cybersecurity risk reporting.</w:t>
      </w:r>
    </w:p>
    <w:p>
      <w:pPr>
        <w:pStyle w:val="Heading1"/>
      </w:pPr>
      <w:r>
        <w:t>Reference Framework</w:t>
      </w:r>
    </w:p>
    <w:p>
      <w:r>
        <w:t>National Institute of Standards and Technology. (2024). Cybersecurity Framework (CSF) 2.0. This is an original fictional portfolio plan developed for defensive cybersecurity demonstration.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Cybersecurity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