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Phishing Incident Response Playbook</w:t>
      </w:r>
    </w:p>
    <w:p>
      <w:pPr>
        <w:jc w:val="center"/>
      </w:pPr>
      <w:r>
        <w:rPr>
          <w:i/>
          <w:sz w:val="21"/>
        </w:rPr>
        <w:t>Phishing &amp; Social Engineering Risk Assessment | Gabryelle Walker</w:t>
      </w:r>
    </w:p>
    <w:p>
      <w:pPr>
        <w:pStyle w:val="Heading1"/>
      </w:pPr>
      <w:r>
        <w:t>1. Purpose and Scope</w:t>
      </w:r>
    </w:p>
    <w:p>
      <w:r>
        <w:t>This playbook provides a repeatable defensive response process for suspected or confirmed phishing and social engineering incidents within a fictional enterprise. It covers suspicious messages, malicious links or attachments, credential disclosure, fraudulent MFA approval, business email compromise (BEC), and related account takeover activity.</w:t>
      </w:r>
    </w:p>
    <w:p>
      <w:pPr>
        <w:pStyle w:val="Heading1"/>
      </w:pPr>
      <w:r>
        <w:t>2. Incident Triggers</w:t>
      </w:r>
    </w:p>
    <w:p>
      <w:pPr>
        <w:pStyle w:val="ListBullet"/>
      </w:pPr>
      <w:r>
        <w:t>An employee reports a suspicious email, text, QR code, chat message, or phone-based social engineering attempt.</w:t>
      </w:r>
    </w:p>
    <w:p>
      <w:pPr>
        <w:pStyle w:val="ListBullet"/>
      </w:pPr>
      <w:r>
        <w:t>A user clicks a suspected malicious link or opens a suspicious attachment.</w:t>
      </w:r>
    </w:p>
    <w:p>
      <w:pPr>
        <w:pStyle w:val="ListBullet"/>
      </w:pPr>
      <w:r>
        <w:t>Credentials are entered into a suspected fraudulent sign-in page.</w:t>
      </w:r>
    </w:p>
    <w:p>
      <w:pPr>
        <w:pStyle w:val="ListBullet"/>
      </w:pPr>
      <w:r>
        <w:t>A user approves an unexpected MFA request.</w:t>
      </w:r>
    </w:p>
    <w:p>
      <w:pPr>
        <w:pStyle w:val="ListBullet"/>
      </w:pPr>
      <w:r>
        <w:t>Security tools detect malicious email, malware, impossible travel, suspicious sign-in activity, or abnormal mailbox behavior.</w:t>
      </w:r>
    </w:p>
    <w:p>
      <w:pPr>
        <w:pStyle w:val="ListBullet"/>
      </w:pPr>
      <w:r>
        <w:t>Finance or a vendor reports a suspicious payment, banking-information change, or executive impersonation attempt.</w:t>
      </w:r>
    </w:p>
    <w:p>
      <w:pPr>
        <w:pStyle w:val="Heading1"/>
      </w:pPr>
      <w:r>
        <w:t>3. Initial Triage and Severity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Severity</w:t>
            </w:r>
          </w:p>
        </w:tc>
        <w:tc>
          <w:tcPr>
            <w:tcW w:type="dxa" w:w="2520"/>
          </w:tcPr>
          <w:p>
            <w:r>
              <w:t>Example</w:t>
            </w:r>
          </w:p>
        </w:tc>
        <w:tc>
          <w:tcPr>
            <w:tcW w:type="dxa" w:w="2520"/>
          </w:tcPr>
          <w:p>
            <w:r>
              <w:t>Potential Impact</w:t>
            </w:r>
          </w:p>
        </w:tc>
        <w:tc>
          <w:tcPr>
            <w:tcW w:type="dxa" w:w="2520"/>
          </w:tcPr>
          <w:p>
            <w:r>
              <w:t>Response</w:t>
            </w:r>
          </w:p>
        </w:tc>
      </w:tr>
      <w:tr>
        <w:tc>
          <w:tcPr>
            <w:tcW w:type="dxa" w:w="2520"/>
          </w:tcPr>
          <w:p>
            <w:r>
              <w:t>Low</w:t>
            </w:r>
          </w:p>
        </w:tc>
        <w:tc>
          <w:tcPr>
            <w:tcW w:type="dxa" w:w="2520"/>
          </w:tcPr>
          <w:p>
            <w:r>
              <w:t>Suspicious message reported; no interaction</w:t>
            </w:r>
          </w:p>
        </w:tc>
        <w:tc>
          <w:tcPr>
            <w:tcW w:type="dxa" w:w="2520"/>
          </w:tcPr>
          <w:p>
            <w:r>
              <w:t>Limited</w:t>
            </w:r>
          </w:p>
        </w:tc>
        <w:tc>
          <w:tcPr>
            <w:tcW w:type="dxa" w:w="2520"/>
          </w:tcPr>
          <w:p>
            <w:r>
              <w:t>Analyze and block as appropriate</w:t>
            </w:r>
          </w:p>
        </w:tc>
      </w:tr>
      <w:tr>
        <w:tc>
          <w:tcPr>
            <w:tcW w:type="dxa" w:w="2520"/>
          </w:tcPr>
          <w:p>
            <w:r>
              <w:t>Moderate</w:t>
            </w:r>
          </w:p>
        </w:tc>
        <w:tc>
          <w:tcPr>
            <w:tcW w:type="dxa" w:w="2520"/>
          </w:tcPr>
          <w:p>
            <w:r>
              <w:t>Link clicked but no known credential entry or execution</w:t>
            </w:r>
          </w:p>
        </w:tc>
        <w:tc>
          <w:tcPr>
            <w:tcW w:type="dxa" w:w="2520"/>
          </w:tcPr>
          <w:p>
            <w:r>
              <w:t>Possible endpoint/account exposure</w:t>
            </w:r>
          </w:p>
        </w:tc>
        <w:tc>
          <w:tcPr>
            <w:tcW w:type="dxa" w:w="2520"/>
          </w:tcPr>
          <w:p>
            <w:r>
              <w:t>Investigate user, URL, endpoint, and related messages</w:t>
            </w:r>
          </w:p>
        </w:tc>
      </w:tr>
      <w:tr>
        <w:tc>
          <w:tcPr>
            <w:tcW w:type="dxa" w:w="2520"/>
          </w:tcPr>
          <w:p>
            <w:r>
              <w:t>High</w:t>
            </w:r>
          </w:p>
        </w:tc>
        <w:tc>
          <w:tcPr>
            <w:tcW w:type="dxa" w:w="2520"/>
          </w:tcPr>
          <w:p>
            <w:r>
              <w:t>Credentials submitted or unexpected MFA approved</w:t>
            </w:r>
          </w:p>
        </w:tc>
        <w:tc>
          <w:tcPr>
            <w:tcW w:type="dxa" w:w="2520"/>
          </w:tcPr>
          <w:p>
            <w:r>
              <w:t>Likely account compromise</w:t>
            </w:r>
          </w:p>
        </w:tc>
        <w:tc>
          <w:tcPr>
            <w:tcW w:type="dxa" w:w="2520"/>
          </w:tcPr>
          <w:p>
            <w:r>
              <w:t>Immediate account containment and session revocation</w:t>
            </w:r>
          </w:p>
        </w:tc>
      </w:tr>
      <w:tr>
        <w:tc>
          <w:tcPr>
            <w:tcW w:type="dxa" w:w="2520"/>
          </w:tcPr>
          <w:p>
            <w:r>
              <w:t>Critical</w:t>
            </w:r>
          </w:p>
        </w:tc>
        <w:tc>
          <w:tcPr>
            <w:tcW w:type="dxa" w:w="2520"/>
          </w:tcPr>
          <w:p>
            <w:r>
              <w:t>Malware execution, privileged compromise, BEC loss, or widespread campaign</w:t>
            </w:r>
          </w:p>
        </w:tc>
        <w:tc>
          <w:tcPr>
            <w:tcW w:type="dxa" w:w="2520"/>
          </w:tcPr>
          <w:p>
            <w:r>
              <w:t>Enterprise, financial, or data impact</w:t>
            </w:r>
          </w:p>
        </w:tc>
        <w:tc>
          <w:tcPr>
            <w:tcW w:type="dxa" w:w="2520"/>
          </w:tcPr>
          <w:p>
            <w:r>
              <w:t>Activate incident response leadership and broader containment</w:t>
            </w:r>
          </w:p>
        </w:tc>
      </w:tr>
    </w:tbl>
    <w:p>
      <w:pPr>
        <w:pStyle w:val="Heading1"/>
      </w:pPr>
      <w:r>
        <w:t>4. Response Workflow</w:t>
      </w:r>
    </w:p>
    <w:p>
      <w:pPr>
        <w:pStyle w:val="Heading2"/>
      </w:pPr>
      <w:r>
        <w:t>Phase 1 — Identification</w:t>
      </w:r>
    </w:p>
    <w:p>
      <w:pPr>
        <w:pStyle w:val="ListBullet"/>
      </w:pPr>
      <w:r>
        <w:t>Record the reporter, time, message source, subject, sender, recipient, and observed behavior.</w:t>
      </w:r>
    </w:p>
    <w:p>
      <w:pPr>
        <w:pStyle w:val="ListBullet"/>
      </w:pPr>
      <w:r>
        <w:t>Preserve the suspicious message and relevant headers using approved evidence-handling procedures.</w:t>
      </w:r>
    </w:p>
    <w:p>
      <w:pPr>
        <w:pStyle w:val="ListBullet"/>
      </w:pPr>
      <w:r>
        <w:t>Determine whether the user clicked, downloaded, opened, entered credentials, approved MFA, or completed a requested transaction.</w:t>
      </w:r>
    </w:p>
    <w:p>
      <w:pPr>
        <w:pStyle w:val="ListBullet"/>
      </w:pPr>
      <w:r>
        <w:t>Search security telemetry for similar messages, recipients, domains, URLs, attachments, and authentication events.</w:t>
      </w:r>
    </w:p>
    <w:p>
      <w:pPr>
        <w:pStyle w:val="Heading2"/>
      </w:pPr>
      <w:r>
        <w:t>Phase 2 — Containment</w:t>
      </w:r>
    </w:p>
    <w:p>
      <w:pPr>
        <w:pStyle w:val="ListBullet"/>
      </w:pPr>
      <w:r>
        <w:t>Remove or quarantine confirmed malicious messages from other mailboxes when authorized.</w:t>
      </w:r>
    </w:p>
    <w:p>
      <w:pPr>
        <w:pStyle w:val="ListBullet"/>
      </w:pPr>
      <w:r>
        <w:t>Block confirmed malicious domains, URLs, attachments, or sender indicators using approved security controls.</w:t>
      </w:r>
    </w:p>
    <w:p>
      <w:pPr>
        <w:pStyle w:val="ListBullet"/>
      </w:pPr>
      <w:r>
        <w:t>If credentials may be compromised, disable or protect the account as appropriate, reset credentials, revoke active sessions/tokens, and review MFA methods.</w:t>
      </w:r>
    </w:p>
    <w:p>
      <w:pPr>
        <w:pStyle w:val="ListBullet"/>
      </w:pPr>
      <w:r>
        <w:t>If an endpoint may be compromised, isolate it using approved endpoint security tooling.</w:t>
      </w:r>
    </w:p>
    <w:p>
      <w:pPr>
        <w:pStyle w:val="ListBullet"/>
      </w:pPr>
      <w:r>
        <w:t>For suspected BEC, immediately notify finance and pause related payments or account changes while independent verification occurs.</w:t>
      </w:r>
    </w:p>
    <w:p>
      <w:pPr>
        <w:pStyle w:val="Heading2"/>
      </w:pPr>
      <w:r>
        <w:t>Phase 3 — Eradication</w:t>
      </w:r>
    </w:p>
    <w:p>
      <w:pPr>
        <w:pStyle w:val="ListBullet"/>
      </w:pPr>
      <w:r>
        <w:t>Remove identified malicious files, persistence, inbox rules, unauthorized OAuth grants, or other confirmed artifacts.</w:t>
      </w:r>
    </w:p>
    <w:p>
      <w:pPr>
        <w:pStyle w:val="ListBullet"/>
      </w:pPr>
      <w:r>
        <w:t>Correct unauthorized account or mailbox configuration changes.</w:t>
      </w:r>
    </w:p>
    <w:p>
      <w:pPr>
        <w:pStyle w:val="ListBullet"/>
      </w:pPr>
      <w:r>
        <w:t>Patch or harden exploited weaknesses when the incident reveals a control gap.</w:t>
      </w:r>
    </w:p>
    <w:p>
      <w:pPr>
        <w:pStyle w:val="ListBullet"/>
      </w:pPr>
      <w:r>
        <w:t>Confirm malicious indicators are blocked across applicable security controls.</w:t>
      </w:r>
    </w:p>
    <w:p>
      <w:pPr>
        <w:pStyle w:val="Heading2"/>
      </w:pPr>
      <w:r>
        <w:t>Phase 4 — Recovery</w:t>
      </w:r>
    </w:p>
    <w:p>
      <w:pPr>
        <w:pStyle w:val="ListBullet"/>
      </w:pPr>
      <w:r>
        <w:t>Restore endpoint or account access only after security validation.</w:t>
      </w:r>
    </w:p>
    <w:p>
      <w:pPr>
        <w:pStyle w:val="ListBullet"/>
      </w:pPr>
      <w:r>
        <w:t>Require secure credential reset and re-registration of authentication factors when appropriate.</w:t>
      </w:r>
    </w:p>
    <w:p>
      <w:pPr>
        <w:pStyle w:val="ListBullet"/>
      </w:pPr>
      <w:r>
        <w:t>Monitor affected identities, mailboxes, endpoints, and transactions for renewed suspicious activity.</w:t>
      </w:r>
    </w:p>
    <w:p>
      <w:pPr>
        <w:pStyle w:val="ListBullet"/>
      </w:pPr>
      <w:r>
        <w:t>Confirm that critical business processes can resume safely.</w:t>
      </w:r>
    </w:p>
    <w:p>
      <w:pPr>
        <w:pStyle w:val="Heading2"/>
      </w:pPr>
      <w:r>
        <w:t>Phase 5 — Lessons Learned</w:t>
      </w:r>
    </w:p>
    <w:p>
      <w:pPr>
        <w:pStyle w:val="ListBullet"/>
      </w:pPr>
      <w:r>
        <w:t>Document root cause, attack method, affected users/assets, containment actions, business impact, and recovery actions.</w:t>
      </w:r>
    </w:p>
    <w:p>
      <w:pPr>
        <w:pStyle w:val="ListBullet"/>
      </w:pPr>
      <w:r>
        <w:t>Determine whether similar users or systems remain exposed.</w:t>
      </w:r>
    </w:p>
    <w:p>
      <w:pPr>
        <w:pStyle w:val="ListBullet"/>
      </w:pPr>
      <w:r>
        <w:t>Update email controls, identity controls, awareness content, and phishing simulations based on the incident.</w:t>
      </w:r>
    </w:p>
    <w:p>
      <w:pPr>
        <w:pStyle w:val="ListBullet"/>
      </w:pPr>
      <w:r>
        <w:t>Record metrics and update the risk assessment when likelihood, impact, or control effectiveness has changed.</w:t>
      </w:r>
    </w:p>
    <w:p>
      <w:pPr>
        <w:pStyle w:val="Heading1"/>
      </w:pPr>
      <w:r>
        <w:t>5. Scenario-Specific Actions</w:t>
      </w:r>
    </w:p>
    <w:tbl>
      <w:tblPr>
        <w:tblStyle w:val="TableGrid"/>
        <w:tblW w:type="auto" w:w="0"/>
        <w:tblLook w:firstColumn="1" w:firstRow="1" w:lastColumn="0" w:lastRow="0" w:noHBand="0" w:noVBand="1" w:val="04A0"/>
      </w:tblPr>
      <w:tblGrid>
        <w:gridCol w:w="3360"/>
        <w:gridCol w:w="3360"/>
        <w:gridCol w:w="3360"/>
      </w:tblGrid>
      <w:tr>
        <w:tc>
          <w:tcPr>
            <w:tcW w:type="dxa" w:w="3360"/>
          </w:tcPr>
          <w:p>
            <w:r>
              <w:t>Scenario</w:t>
            </w:r>
          </w:p>
        </w:tc>
        <w:tc>
          <w:tcPr>
            <w:tcW w:type="dxa" w:w="3360"/>
          </w:tcPr>
          <w:p>
            <w:r>
              <w:t>Immediate Priority</w:t>
            </w:r>
          </w:p>
        </w:tc>
        <w:tc>
          <w:tcPr>
            <w:tcW w:type="dxa" w:w="3360"/>
          </w:tcPr>
          <w:p>
            <w:r>
              <w:t>Key Actions</w:t>
            </w:r>
          </w:p>
        </w:tc>
      </w:tr>
      <w:tr>
        <w:tc>
          <w:tcPr>
            <w:tcW w:type="dxa" w:w="3360"/>
          </w:tcPr>
          <w:p>
            <w:r>
              <w:t>Credential submitted</w:t>
            </w:r>
          </w:p>
        </w:tc>
        <w:tc>
          <w:tcPr>
            <w:tcW w:type="dxa" w:w="3360"/>
          </w:tcPr>
          <w:p>
            <w:r>
              <w:t>Protect identity</w:t>
            </w:r>
          </w:p>
        </w:tc>
        <w:tc>
          <w:tcPr>
            <w:tcW w:type="dxa" w:w="3360"/>
          </w:tcPr>
          <w:p>
            <w:r>
              <w:t>Reset credentials; revoke sessions/tokens; inspect sign-ins; verify MFA methods; monitor account.</w:t>
            </w:r>
          </w:p>
        </w:tc>
      </w:tr>
      <w:tr>
        <w:tc>
          <w:tcPr>
            <w:tcW w:type="dxa" w:w="3360"/>
          </w:tcPr>
          <w:p>
            <w:r>
              <w:t>Unexpected MFA approved</w:t>
            </w:r>
          </w:p>
        </w:tc>
        <w:tc>
          <w:tcPr>
            <w:tcW w:type="dxa" w:w="3360"/>
          </w:tcPr>
          <w:p>
            <w:r>
              <w:t>Terminate unauthorized access</w:t>
            </w:r>
          </w:p>
        </w:tc>
        <w:tc>
          <w:tcPr>
            <w:tcW w:type="dxa" w:w="3360"/>
          </w:tcPr>
          <w:p>
            <w:r>
              <w:t>Revoke sessions; reset credentials if warranted; review authentication logs; strengthen MFA controls.</w:t>
            </w:r>
          </w:p>
        </w:tc>
      </w:tr>
      <w:tr>
        <w:tc>
          <w:tcPr>
            <w:tcW w:type="dxa" w:w="3360"/>
          </w:tcPr>
          <w:p>
            <w:r>
              <w:t>Malicious attachment opened</w:t>
            </w:r>
          </w:p>
        </w:tc>
        <w:tc>
          <w:tcPr>
            <w:tcW w:type="dxa" w:w="3360"/>
          </w:tcPr>
          <w:p>
            <w:r>
              <w:t>Protect endpoint and identity</w:t>
            </w:r>
          </w:p>
        </w:tc>
        <w:tc>
          <w:tcPr>
            <w:tcW w:type="dxa" w:w="3360"/>
          </w:tcPr>
          <w:p>
            <w:r>
              <w:t>Isolate endpoint; investigate EDR telemetry; assess execution; protect associated accounts; eradicate confirmed artifacts.</w:t>
            </w:r>
          </w:p>
        </w:tc>
      </w:tr>
      <w:tr>
        <w:tc>
          <w:tcPr>
            <w:tcW w:type="dxa" w:w="3360"/>
          </w:tcPr>
          <w:p>
            <w:r>
              <w:t>BEC / fraudulent payment request</w:t>
            </w:r>
          </w:p>
        </w:tc>
        <w:tc>
          <w:tcPr>
            <w:tcW w:type="dxa" w:w="3360"/>
          </w:tcPr>
          <w:p>
            <w:r>
              <w:t>Protect funds and mailbox</w:t>
            </w:r>
          </w:p>
        </w:tc>
        <w:tc>
          <w:tcPr>
            <w:tcW w:type="dxa" w:w="3360"/>
          </w:tcPr>
          <w:p>
            <w:r>
              <w:t>Pause payment; independently verify request; investigate mailbox/account; notify finance/security leadership.</w:t>
            </w:r>
          </w:p>
        </w:tc>
      </w:tr>
      <w:tr>
        <w:tc>
          <w:tcPr>
            <w:tcW w:type="dxa" w:w="3360"/>
          </w:tcPr>
          <w:p>
            <w:r>
              <w:t>Suspicious message only</w:t>
            </w:r>
          </w:p>
        </w:tc>
        <w:tc>
          <w:tcPr>
            <w:tcW w:type="dxa" w:w="3360"/>
          </w:tcPr>
          <w:p>
            <w:r>
              <w:t>Prevent spread</w:t>
            </w:r>
          </w:p>
        </w:tc>
        <w:tc>
          <w:tcPr>
            <w:tcW w:type="dxa" w:w="3360"/>
          </w:tcPr>
          <w:p>
            <w:r>
              <w:t>Analyze indicators; search for other recipients; quarantine/block confirmed malicious content; notify affected users if needed.</w:t>
            </w:r>
          </w:p>
        </w:tc>
      </w:tr>
    </w:tbl>
    <w:p>
      <w:pPr>
        <w:pStyle w:val="Heading1"/>
      </w:pPr>
      <w:r>
        <w:t>6. Roles and Responsibilities</w:t>
      </w:r>
    </w:p>
    <w:p>
      <w:pPr>
        <w:pStyle w:val="ListBullet"/>
      </w:pPr>
      <w:r>
        <w:rPr>
          <w:b/>
        </w:rPr>
        <w:t xml:space="preserve">Employee / Reporter: </w:t>
      </w:r>
      <w:r>
        <w:t>Stop interaction, preserve the message, and report promptly through approved channels.</w:t>
      </w:r>
    </w:p>
    <w:p>
      <w:pPr>
        <w:pStyle w:val="ListBullet"/>
      </w:pPr>
      <w:r>
        <w:rPr>
          <w:b/>
        </w:rPr>
        <w:t xml:space="preserve">Security Operations: </w:t>
      </w:r>
      <w:r>
        <w:t>Triage alerts, analyze indicators, contain threats, coordinate investigation, and document evidence.</w:t>
      </w:r>
    </w:p>
    <w:p>
      <w:pPr>
        <w:pStyle w:val="ListBullet"/>
      </w:pPr>
      <w:r>
        <w:rPr>
          <w:b/>
        </w:rPr>
        <w:t xml:space="preserve">IAM Team: </w:t>
      </w:r>
      <w:r>
        <w:t>Protect compromised identities, revoke sessions, reset authentication, and review account activity.</w:t>
      </w:r>
    </w:p>
    <w:p>
      <w:pPr>
        <w:pStyle w:val="ListBullet"/>
      </w:pPr>
      <w:r>
        <w:rPr>
          <w:b/>
        </w:rPr>
        <w:t xml:space="preserve">Endpoint / IT Team: </w:t>
      </w:r>
      <w:r>
        <w:t>Isolate and remediate affected devices and support secure restoration.</w:t>
      </w:r>
    </w:p>
    <w:p>
      <w:pPr>
        <w:pStyle w:val="ListBullet"/>
      </w:pPr>
      <w:r>
        <w:rPr>
          <w:b/>
        </w:rPr>
        <w:t xml:space="preserve">Finance: </w:t>
      </w:r>
      <w:r>
        <w:t>Pause and validate suspicious transactions and coordinate BEC-related financial response.</w:t>
      </w:r>
    </w:p>
    <w:p>
      <w:pPr>
        <w:pStyle w:val="ListBullet"/>
      </w:pPr>
      <w:r>
        <w:rPr>
          <w:b/>
        </w:rPr>
        <w:t xml:space="preserve">Incident Lead: </w:t>
      </w:r>
      <w:r>
        <w:t>Coordinate high/critical incidents, business communication, escalation, and recovery decisions.</w:t>
      </w:r>
    </w:p>
    <w:p>
      <w:pPr>
        <w:pStyle w:val="ListBullet"/>
      </w:pPr>
      <w:r>
        <w:rPr>
          <w:b/>
        </w:rPr>
        <w:t xml:space="preserve">Legal / Privacy / Leadership: </w:t>
      </w:r>
      <w:r>
        <w:t>Engage when business impact, contractual obligations, privacy exposure, or reporting requirements warrant review.</w:t>
      </w:r>
    </w:p>
    <w:p>
      <w:pPr>
        <w:pStyle w:val="Heading1"/>
      </w:pPr>
      <w:r>
        <w:t>7. Evidence and Documentation</w:t>
      </w:r>
    </w:p>
    <w:p>
      <w:r>
        <w:t>Responders should preserve relevant evidence according to organizational policy. Useful artifacts may include the original message and headers, security alerts, authentication logs, endpoint telemetry, URL/domain indicators, mailbox rules, transaction records, user-reported actions, and a timeline of response activities. Access to evidence should be limited to authorized personnel.</w:t>
      </w:r>
    </w:p>
    <w:p>
      <w:pPr>
        <w:pStyle w:val="Heading1"/>
      </w:pPr>
      <w:r>
        <w:t>8. Performance Metrics</w:t>
      </w:r>
    </w:p>
    <w:p>
      <w:pPr>
        <w:pStyle w:val="ListBullet"/>
      </w:pPr>
      <w:r>
        <w:t>Mean/median time from employee receipt to report</w:t>
      </w:r>
    </w:p>
    <w:p>
      <w:pPr>
        <w:pStyle w:val="ListBullet"/>
      </w:pPr>
      <w:r>
        <w:t>Time from report/detection to containment</w:t>
      </w:r>
    </w:p>
    <w:p>
      <w:pPr>
        <w:pStyle w:val="ListBullet"/>
      </w:pPr>
      <w:r>
        <w:t>Number of recipients exposed to the same campaign</w:t>
      </w:r>
    </w:p>
    <w:p>
      <w:pPr>
        <w:pStyle w:val="ListBullet"/>
      </w:pPr>
      <w:r>
        <w:t>Number of compromised identities or endpoints</w:t>
      </w:r>
    </w:p>
    <w:p>
      <w:pPr>
        <w:pStyle w:val="ListBullet"/>
      </w:pPr>
      <w:r>
        <w:t>Percentage of malicious messages removed before user interaction</w:t>
      </w:r>
    </w:p>
    <w:p>
      <w:pPr>
        <w:pStyle w:val="ListBullet"/>
      </w:pPr>
      <w:r>
        <w:t>Repeat incidents associated with previously identified control gaps</w:t>
      </w:r>
    </w:p>
    <w:p>
      <w:pPr>
        <w:pStyle w:val="Heading1"/>
      </w:pPr>
      <w:r>
        <w:t>9. Closure Criteria</w:t>
      </w:r>
    </w:p>
    <w:p>
      <w:r>
        <w:t>An incident may be closed when confirmed malicious access and artifacts have been contained or removed, affected identities and endpoints are secured, required recovery actions are complete, monitoring shows no continuing compromise, business stakeholders are informed as appropriate, and lessons learned and follow-up actions are documented.</w:t>
      </w:r>
    </w:p>
    <w:p>
      <w:pPr>
        <w:pStyle w:val="Heading1"/>
      </w:pPr>
      <w:r>
        <w:t>Reference Frameworks</w:t>
      </w:r>
    </w:p>
    <w:p>
      <w:r>
        <w:t>National Institute of Standards and Technology (NIST), Cybersecurity Framework (CSF) 2.0; NIST SP 800-61 Rev. 2, Computer Security Incident Handling Guide. This is an original fictional defensive cybersecurity portfolio exercise.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Cybersecurity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