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(Campus Blumenau)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Ricardo de La Rocha Ladeira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Matéria: Padrões de 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Gabrielli Danker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entrega: 20 de Março de 2025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Exercícios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Faça os dois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exercícios do slide 28 de GOMES, s.d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Implemente o padrão Decorator no exemplo Starbuzz Cofee dos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slides anteriores (diagrama do slide no.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 Beverage"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Espresso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Espresso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HouseBlend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HouseBlend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"House Blend Coffee"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DarkRoast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DarkRoast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"Dark Roast"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Mocha"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Whip"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Soy"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StarbuzzCoffee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Espresso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DarkRoast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HouseBlend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Altere a implementação para prover as seguintes funcionalidades: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“StarBuzz introduziu diferentes tamanhos de bebida em seu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cardápio. Agora é possível pedir café em tamanhos pequeno, médio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grande. A classe Beverage deve implementar métodos setSize() e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getSize(). Também será necessário alterar o preço de complementos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tamanho: por exemplo, leite de soja (Soy) deve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custar 10, 15 e 20 centavos para tamanho P, M e G,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respectivamente.”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 Beverage"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Espresso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Espresso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HouseBlend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HouseBlend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"House Blend Coffee"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Milk"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Soy"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Mocha (%d doses)"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CondimentDecorator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Whip"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CoffeeShop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Espresso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$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HouseBlend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setDosesOfCoffee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$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beverage2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5G09KRek0CvSgEiRlBydiXhREjqses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