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Conforme definido hoje em aula, os seguintes requisitos devem ser cumpridos no trabalho: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mínimo de 6 (seis) padrões de projeto;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uso dos padrões GRASP;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uso de padrão(ões) arquitetural(ais);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o tema do trabalho é livre;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é permitido aproveitar trabalhos desenvolvidos em outras disciplinas;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é permitido apresentar o trabalho antes da data final;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 apresentação terá formato livre e não deve exceder 30 minutos;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o texto em formato de pôster será feito utilizando 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modelo de pôster da MEPEC 2024</w:t>
        </w:r>
      </w:hyperlink>
      <w:r w:rsidDel="00000000" w:rsidR="00000000" w:rsidRPr="00000000">
        <w:rPr>
          <w:rtl w:val="0"/>
        </w:rPr>
        <w:t xml:space="preserve"> (faça uma cópia do arquivo original);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no seu pôster, coloque um link ativo para o repositório do código do projeto, com acesso público.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a1gCo3bF11q_c0znLbB4LqnYsyct1fR9BmVYb41X20/edit#slide=id.p" TargetMode="External"/><Relationship Id="rId7" Type="http://schemas.openxmlformats.org/officeDocument/2006/relationships/hyperlink" Target="https://docs.google.com/presentation/d/1pa1gCo3bF11q_c0znLbB4LqnYsyct1fR9BmVYb41X20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