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28"/>
          <w:szCs w:val="28"/>
        </w:rPr>
        <w:t xml:space="preserve">PCCST503 – MACHINE LEARNING</w:t>
      </w:r>
    </w:p>
    <w:p>
      <w:pPr>
        <w:spacing w:after="50"/>
        <w:jc w:val="center"/>
      </w:pPr>
      <w:r>
        <w:rPr>
          <w:b/>
          <w:bCs/>
          <w:sz w:val="24"/>
          <w:szCs w:val="24"/>
        </w:rPr>
        <w:t xml:space="preserve">ASSIGNMENT 1</w:t>
      </w:r>
    </w:p>
    <w:p>
      <w:pPr>
        <w:spacing w:after="300"/>
        <w:jc w:val="center"/>
      </w:pPr>
      <w:r>
        <w:rPr>
          <w:b/>
          <w:bCs/>
          <w:sz w:val="24"/>
          <w:szCs w:val="24"/>
        </w:rPr>
        <w:t xml:space="preserve">EXPERIMENTAL RESULTS</w:t>
      </w:r>
    </w:p>
    <w:p>
      <w:pPr>
        <w:spacing w:after="300"/>
        <w:jc w:val="center"/>
      </w:pPr>
      <w:r>
        <w:rPr>
          <w:i/>
          <w:iCs/>
        </w:rPr>
        <w:t xml:space="preserve">Design of a Safe Semantic Planner in a Finite Cartesian State Space</w:t>
      </w:r>
    </w:p>
    <w:p>
      <w:pPr>
        <w:pStyle w:val="Heading1"/>
        <w:spacing w:after="150" w:before="300"/>
      </w:pPr>
      <w:r>
        <w:rPr>
          <w:b/>
          <w:bCs/>
        </w:rPr>
        <w:t xml:space="preserve">1. Experimental Objective</w:t>
      </w:r>
    </w:p>
    <w:p>
      <w:pPr>
        <w:spacing w:after="150"/>
      </w:pPr>
      <w:r>
        <w:t xml:space="preserve">The implementation is evaluated using the six test cases specified in the assignment. The evaluation considers goal success, bad-state avoidance, total path cost, minimum safety distance, cumulative reliability, explored states, planning/replanning time, and memory usage — all metrics the assignment explicitly asks students to report.</w:t>
      </w:r>
    </w:p>
    <w:p>
      <w:pPr>
        <w:spacing w:after="150"/>
      </w:pPr>
      <w:r>
        <w:t xml:space="preserve">All figures below were produced by compiling and running safe_planner.cpp directly (g++ -std=c++17 -O2), not computed by hand. Timing figures are wall-clock measurements from a single run using std::chrono::steady_clock and will vary slightly between machines and runs, but will remain sub-millisecond for graphs of this size.</w:t>
      </w:r>
    </w:p>
    <w:p>
      <w:pPr>
        <w:pStyle w:val="Heading1"/>
        <w:spacing w:after="150" w:before="300"/>
      </w:pPr>
      <w:r>
        <w:rPr>
          <w:b/>
          <w:bCs/>
        </w:rPr>
        <w:t xml:space="preserve">2.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500"/>
        <w:gridCol w:w="1300"/>
        <w:gridCol w:w="700"/>
        <w:gridCol w:w="1000"/>
        <w:gridCol w:w="1100"/>
        <w:gridCol w:w="900"/>
        <w:gridCol w:w="1100"/>
        <w:gridCol w:w="1000"/>
      </w:tblGrid>
      <w:tr>
        <w:trPr>
          <w:tblHeader/>
        </w:trPr>
        <w:tc>
          <w:tcPr>
            <w:tcW w:type="dxa" w:w="500"/>
            <w:shd w:fill="2F5496" w:val="clear"/>
          </w:tcPr>
          <w:p>
            <w:r>
              <w:rPr>
                <w:b/>
                <w:bCs/>
                <w:color w:val="FFFFFF"/>
                <w:sz w:val="16"/>
                <w:szCs w:val="16"/>
              </w:rPr>
              <w:t xml:space="preserve">Test</w:t>
            </w:r>
          </w:p>
        </w:tc>
        <w:tc>
          <w:tcPr>
            <w:tcW w:type="dxa" w:w="900"/>
            <w:shd w:fill="2F5496" w:val="clear"/>
          </w:tcPr>
          <w:p>
            <w:r>
              <w:rPr>
                <w:b/>
                <w:bCs/>
                <w:color w:val="FFFFFF"/>
                <w:sz w:val="16"/>
                <w:szCs w:val="16"/>
              </w:rPr>
              <w:t xml:space="preserve">Result</w:t>
            </w:r>
          </w:p>
        </w:tc>
        <w:tc>
          <w:tcPr>
            <w:tcW w:type="dxa" w:w="1500"/>
            <w:shd w:fill="2F5496" w:val="clear"/>
          </w:tcPr>
          <w:p>
            <w:r>
              <w:rPr>
                <w:b/>
                <w:bCs/>
                <w:color w:val="FFFFFF"/>
                <w:sz w:val="16"/>
                <w:szCs w:val="16"/>
              </w:rPr>
              <w:t xml:space="preserve">State Path</w:t>
            </w:r>
          </w:p>
        </w:tc>
        <w:tc>
          <w:tcPr>
            <w:tcW w:type="dxa" w:w="1300"/>
            <w:shd w:fill="2F5496" w:val="clear"/>
          </w:tcPr>
          <w:p>
            <w:r>
              <w:rPr>
                <w:b/>
                <w:bCs/>
                <w:color w:val="FFFFFF"/>
                <w:sz w:val="16"/>
                <w:szCs w:val="16"/>
              </w:rPr>
              <w:t xml:space="preserve">Transition IDs</w:t>
            </w:r>
          </w:p>
        </w:tc>
        <w:tc>
          <w:tcPr>
            <w:tcW w:type="dxa" w:w="700"/>
            <w:shd w:fill="2F5496" w:val="clear"/>
          </w:tcPr>
          <w:p>
            <w:r>
              <w:rPr>
                <w:b/>
                <w:bCs/>
                <w:color w:val="FFFFFF"/>
                <w:sz w:val="16"/>
                <w:szCs w:val="16"/>
              </w:rPr>
              <w:t xml:space="preserve">Cost</w:t>
            </w:r>
          </w:p>
        </w:tc>
        <w:tc>
          <w:tcPr>
            <w:tcW w:type="dxa" w:w="1000"/>
            <w:shd w:fill="2F5496" w:val="clear"/>
          </w:tcPr>
          <w:p>
            <w:r>
              <w:rPr>
                <w:b/>
                <w:bCs/>
                <w:color w:val="FFFFFF"/>
                <w:sz w:val="16"/>
                <w:szCs w:val="16"/>
              </w:rPr>
              <w:t xml:space="preserve">Min Safety</w:t>
            </w:r>
          </w:p>
        </w:tc>
        <w:tc>
          <w:tcPr>
            <w:tcW w:type="dxa" w:w="1100"/>
            <w:shd w:fill="2F5496" w:val="clear"/>
          </w:tcPr>
          <w:p>
            <w:r>
              <w:rPr>
                <w:b/>
                <w:bCs/>
                <w:color w:val="FFFFFF"/>
                <w:sz w:val="16"/>
                <w:szCs w:val="16"/>
              </w:rPr>
              <w:t xml:space="preserve">Reliability</w:t>
            </w:r>
          </w:p>
        </w:tc>
        <w:tc>
          <w:tcPr>
            <w:tcW w:type="dxa" w:w="900"/>
            <w:shd w:fill="2F5496" w:val="clear"/>
          </w:tcPr>
          <w:p>
            <w:r>
              <w:rPr>
                <w:b/>
                <w:bCs/>
                <w:color w:val="FFFFFF"/>
                <w:sz w:val="16"/>
                <w:szCs w:val="16"/>
              </w:rPr>
              <w:t xml:space="preserve">Explored</w:t>
            </w:r>
          </w:p>
        </w:tc>
        <w:tc>
          <w:tcPr>
            <w:tcW w:type="dxa" w:w="1100"/>
            <w:shd w:fill="2F5496" w:val="clear"/>
          </w:tcPr>
          <w:p>
            <w:r>
              <w:rPr>
                <w:b/>
                <w:bCs/>
                <w:color w:val="FFFFFF"/>
                <w:sz w:val="16"/>
                <w:szCs w:val="16"/>
              </w:rPr>
              <w:t xml:space="preserve">Time (ms)</w:t>
            </w:r>
          </w:p>
        </w:tc>
        <w:tc>
          <w:tcPr>
            <w:tcW w:type="dxa" w:w="1000"/>
            <w:shd w:fill="2F5496" w:val="clear"/>
          </w:tcPr>
          <w:p>
            <w:r>
              <w:rPr>
                <w:b/>
                <w:bCs/>
                <w:color w:val="FFFFFF"/>
                <w:sz w:val="16"/>
                <w:szCs w:val="16"/>
              </w:rPr>
              <w:t xml:space="preserve">Memory (B)</w:t>
            </w:r>
          </w:p>
        </w:tc>
      </w:tr>
      <w:tr>
        <w:tc>
          <w:tcPr>
            <w:tcW w:type="dxa" w:w="500"/>
          </w:tcPr>
          <w:p>
            <w:r>
              <w:rPr>
                <w:sz w:val="18"/>
                <w:szCs w:val="18"/>
              </w:rPr>
              <w:t xml:space="preserve">1</w:t>
            </w:r>
          </w:p>
        </w:tc>
        <w:tc>
          <w:tcPr>
            <w:tcW w:type="dxa" w:w="900"/>
          </w:tcPr>
          <w:p>
            <w:r>
              <w:rPr>
                <w:sz w:val="18"/>
                <w:szCs w:val="18"/>
              </w:rPr>
              <w:t xml:space="preserve">Pass</w:t>
            </w:r>
          </w:p>
        </w:tc>
        <w:tc>
          <w:tcPr>
            <w:tcW w:type="dxa" w:w="1500"/>
          </w:tcPr>
          <w:p>
            <w:r>
              <w:rPr>
                <w:sz w:val="18"/>
                <w:szCs w:val="18"/>
              </w:rPr>
              <w:t xml:space="preserve">1→2→3→4</w:t>
            </w:r>
          </w:p>
        </w:tc>
        <w:tc>
          <w:tcPr>
            <w:tcW w:type="dxa" w:w="1300"/>
          </w:tcPr>
          <w:p>
            <w:r>
              <w:rPr>
                <w:sz w:val="18"/>
                <w:szCs w:val="18"/>
              </w:rPr>
              <w:t xml:space="preserve">1→2→3</w:t>
            </w:r>
          </w:p>
        </w:tc>
        <w:tc>
          <w:tcPr>
            <w:tcW w:type="dxa" w:w="700"/>
          </w:tcPr>
          <w:p>
            <w:r>
              <w:rPr>
                <w:sz w:val="18"/>
                <w:szCs w:val="18"/>
              </w:rPr>
              <w:t xml:space="preserve">3.000</w:t>
            </w:r>
          </w:p>
        </w:tc>
        <w:tc>
          <w:tcPr>
            <w:tcW w:type="dxa" w:w="1000"/>
          </w:tcPr>
          <w:p>
            <w:r>
              <w:rPr>
                <w:sz w:val="18"/>
                <w:szCs w:val="18"/>
              </w:rPr>
              <w:t xml:space="preserve">N/A</w:t>
            </w:r>
          </w:p>
        </w:tc>
        <w:tc>
          <w:tcPr>
            <w:tcW w:type="dxa" w:w="1100"/>
          </w:tcPr>
          <w:p>
            <w:r>
              <w:rPr>
                <w:sz w:val="18"/>
                <w:szCs w:val="18"/>
              </w:rPr>
              <w:t xml:space="preserve">2.850</w:t>
            </w:r>
          </w:p>
        </w:tc>
        <w:tc>
          <w:tcPr>
            <w:tcW w:type="dxa" w:w="900"/>
          </w:tcPr>
          <w:p>
            <w:r>
              <w:rPr>
                <w:sz w:val="18"/>
                <w:szCs w:val="18"/>
              </w:rPr>
              <w:t xml:space="preserve">4</w:t>
            </w:r>
          </w:p>
        </w:tc>
        <w:tc>
          <w:tcPr>
            <w:tcW w:type="dxa" w:w="1100"/>
          </w:tcPr>
          <w:p>
            <w:r>
              <w:rPr>
                <w:sz w:val="18"/>
                <w:szCs w:val="18"/>
              </w:rPr>
              <w:t xml:space="preserve">0.0116</w:t>
            </w:r>
          </w:p>
        </w:tc>
        <w:tc>
          <w:tcPr>
            <w:tcW w:type="dxa" w:w="1000"/>
          </w:tcPr>
          <w:p>
            <w:r>
              <w:rPr>
                <w:sz w:val="18"/>
                <w:szCs w:val="18"/>
              </w:rPr>
              <w:t xml:space="preserve">360</w:t>
            </w:r>
          </w:p>
        </w:tc>
      </w:tr>
      <w:tr>
        <w:tc>
          <w:tcPr>
            <w:tcW w:type="dxa" w:w="500"/>
          </w:tcPr>
          <w:p>
            <w:r>
              <w:rPr>
                <w:sz w:val="18"/>
                <w:szCs w:val="18"/>
              </w:rPr>
              <w:t xml:space="preserve">2</w:t>
            </w:r>
          </w:p>
        </w:tc>
        <w:tc>
          <w:tcPr>
            <w:tcW w:type="dxa" w:w="900"/>
          </w:tcPr>
          <w:p>
            <w:r>
              <w:rPr>
                <w:sz w:val="18"/>
                <w:szCs w:val="18"/>
              </w:rPr>
              <w:t xml:space="preserve">Pass</w:t>
            </w:r>
          </w:p>
        </w:tc>
        <w:tc>
          <w:tcPr>
            <w:tcW w:type="dxa" w:w="1500"/>
          </w:tcPr>
          <w:p>
            <w:r>
              <w:rPr>
                <w:sz w:val="18"/>
                <w:szCs w:val="18"/>
              </w:rPr>
              <w:t xml:space="preserve">1→5→4</w:t>
            </w:r>
          </w:p>
        </w:tc>
        <w:tc>
          <w:tcPr>
            <w:tcW w:type="dxa" w:w="1300"/>
          </w:tcPr>
          <w:p>
            <w:r>
              <w:rPr>
                <w:sz w:val="18"/>
                <w:szCs w:val="18"/>
              </w:rPr>
              <w:t xml:space="preserve">4→5</w:t>
            </w:r>
          </w:p>
        </w:tc>
        <w:tc>
          <w:tcPr>
            <w:tcW w:type="dxa" w:w="700"/>
          </w:tcPr>
          <w:p>
            <w:r>
              <w:rPr>
                <w:sz w:val="18"/>
                <w:szCs w:val="18"/>
              </w:rPr>
              <w:t xml:space="preserve">2.400</w:t>
            </w:r>
          </w:p>
        </w:tc>
        <w:tc>
          <w:tcPr>
            <w:tcW w:type="dxa" w:w="1000"/>
          </w:tcPr>
          <w:p>
            <w:r>
              <w:rPr>
                <w:sz w:val="18"/>
                <w:szCs w:val="18"/>
              </w:rPr>
              <w:t xml:space="preserve">1.000</w:t>
            </w:r>
          </w:p>
        </w:tc>
        <w:tc>
          <w:tcPr>
            <w:tcW w:type="dxa" w:w="1100"/>
          </w:tcPr>
          <w:p>
            <w:r>
              <w:rPr>
                <w:sz w:val="18"/>
                <w:szCs w:val="18"/>
              </w:rPr>
              <w:t xml:space="preserve">1.900</w:t>
            </w:r>
          </w:p>
        </w:tc>
        <w:tc>
          <w:tcPr>
            <w:tcW w:type="dxa" w:w="900"/>
          </w:tcPr>
          <w:p>
            <w:r>
              <w:rPr>
                <w:sz w:val="18"/>
                <w:szCs w:val="18"/>
              </w:rPr>
              <w:t xml:space="preserve">4</w:t>
            </w:r>
          </w:p>
        </w:tc>
        <w:tc>
          <w:tcPr>
            <w:tcW w:type="dxa" w:w="1100"/>
          </w:tcPr>
          <w:p>
            <w:r>
              <w:rPr>
                <w:sz w:val="18"/>
                <w:szCs w:val="18"/>
              </w:rPr>
              <w:t xml:space="preserve">0.0052</w:t>
            </w:r>
          </w:p>
        </w:tc>
        <w:tc>
          <w:tcPr>
            <w:tcW w:type="dxa" w:w="1000"/>
          </w:tcPr>
          <w:p>
            <w:r>
              <w:rPr>
                <w:sz w:val="18"/>
                <w:szCs w:val="18"/>
              </w:rPr>
              <w:t xml:space="preserve">528</w:t>
            </w:r>
          </w:p>
        </w:tc>
      </w:tr>
      <w:tr>
        <w:tc>
          <w:tcPr>
            <w:tcW w:type="dxa" w:w="500"/>
          </w:tcPr>
          <w:p>
            <w:r>
              <w:rPr>
                <w:sz w:val="18"/>
                <w:szCs w:val="18"/>
              </w:rPr>
              <w:t xml:space="preserve">3</w:t>
            </w:r>
          </w:p>
        </w:tc>
        <w:tc>
          <w:tcPr>
            <w:tcW w:type="dxa" w:w="900"/>
          </w:tcPr>
          <w:p>
            <w:r>
              <w:rPr>
                <w:sz w:val="18"/>
                <w:szCs w:val="18"/>
              </w:rPr>
              <w:t xml:space="preserve">Pass</w:t>
            </w:r>
          </w:p>
        </w:tc>
        <w:tc>
          <w:tcPr>
            <w:tcW w:type="dxa" w:w="1500"/>
          </w:tcPr>
          <w:p>
            <w:r>
              <w:rPr>
                <w:sz w:val="18"/>
                <w:szCs w:val="18"/>
              </w:rPr>
              <w:t xml:space="preserve">1→5→6→4</w:t>
            </w:r>
          </w:p>
        </w:tc>
        <w:tc>
          <w:tcPr>
            <w:tcW w:type="dxa" w:w="1300"/>
          </w:tcPr>
          <w:p>
            <w:r>
              <w:rPr>
                <w:sz w:val="18"/>
                <w:szCs w:val="18"/>
              </w:rPr>
              <w:t xml:space="preserve">4→5→6</w:t>
            </w:r>
          </w:p>
        </w:tc>
        <w:tc>
          <w:tcPr>
            <w:tcW w:type="dxa" w:w="700"/>
          </w:tcPr>
          <w:p>
            <w:r>
              <w:rPr>
                <w:sz w:val="18"/>
                <w:szCs w:val="18"/>
              </w:rPr>
              <w:t xml:space="preserve">3.000</w:t>
            </w:r>
          </w:p>
        </w:tc>
        <w:tc>
          <w:tcPr>
            <w:tcW w:type="dxa" w:w="1000"/>
          </w:tcPr>
          <w:p>
            <w:r>
              <w:rPr>
                <w:sz w:val="18"/>
                <w:szCs w:val="18"/>
              </w:rPr>
              <w:t xml:space="preserve">1.500</w:t>
            </w:r>
          </w:p>
        </w:tc>
        <w:tc>
          <w:tcPr>
            <w:tcW w:type="dxa" w:w="1100"/>
          </w:tcPr>
          <w:p>
            <w:r>
              <w:rPr>
                <w:sz w:val="18"/>
                <w:szCs w:val="18"/>
              </w:rPr>
              <w:t xml:space="preserve">2.850</w:t>
            </w:r>
          </w:p>
        </w:tc>
        <w:tc>
          <w:tcPr>
            <w:tcW w:type="dxa" w:w="900"/>
          </w:tcPr>
          <w:p>
            <w:r>
              <w:rPr>
                <w:sz w:val="18"/>
                <w:szCs w:val="18"/>
              </w:rPr>
              <w:t xml:space="preserve">6</w:t>
            </w:r>
          </w:p>
        </w:tc>
        <w:tc>
          <w:tcPr>
            <w:tcW w:type="dxa" w:w="1100"/>
          </w:tcPr>
          <w:p>
            <w:r>
              <w:rPr>
                <w:sz w:val="18"/>
                <w:szCs w:val="18"/>
              </w:rPr>
              <w:t xml:space="preserve">0.0048</w:t>
            </w:r>
          </w:p>
        </w:tc>
        <w:tc>
          <w:tcPr>
            <w:tcW w:type="dxa" w:w="1000"/>
          </w:tcPr>
          <w:p>
            <w:r>
              <w:rPr>
                <w:sz w:val="18"/>
                <w:szCs w:val="18"/>
              </w:rPr>
              <w:t xml:space="preserve">680</w:t>
            </w:r>
          </w:p>
        </w:tc>
      </w:tr>
      <w:tr>
        <w:tc>
          <w:tcPr>
            <w:tcW w:type="dxa" w:w="500"/>
          </w:tcPr>
          <w:p>
            <w:r>
              <w:rPr>
                <w:sz w:val="18"/>
                <w:szCs w:val="18"/>
              </w:rPr>
              <w:t xml:space="preserve">4A</w:t>
            </w:r>
          </w:p>
        </w:tc>
        <w:tc>
          <w:tcPr>
            <w:tcW w:type="dxa" w:w="900"/>
          </w:tcPr>
          <w:p>
            <w:r>
              <w:rPr>
                <w:sz w:val="18"/>
                <w:szCs w:val="18"/>
              </w:rPr>
              <w:t xml:space="preserve">Pass</w:t>
            </w:r>
          </w:p>
        </w:tc>
        <w:tc>
          <w:tcPr>
            <w:tcW w:type="dxa" w:w="1500"/>
          </w:tcPr>
          <w:p>
            <w:r>
              <w:rPr>
                <w:sz w:val="18"/>
                <w:szCs w:val="18"/>
              </w:rPr>
              <w:t xml:space="preserve">1→2→4</w:t>
            </w:r>
          </w:p>
        </w:tc>
        <w:tc>
          <w:tcPr>
            <w:tcW w:type="dxa" w:w="1300"/>
          </w:tcPr>
          <w:p>
            <w:r>
              <w:rPr>
                <w:sz w:val="18"/>
                <w:szCs w:val="18"/>
              </w:rPr>
              <w:t xml:space="preserve">1→2</w:t>
            </w:r>
          </w:p>
        </w:tc>
        <w:tc>
          <w:tcPr>
            <w:tcW w:type="dxa" w:w="700"/>
          </w:tcPr>
          <w:p>
            <w:r>
              <w:rPr>
                <w:sz w:val="18"/>
                <w:szCs w:val="18"/>
              </w:rPr>
              <w:t xml:space="preserve">2.000</w:t>
            </w:r>
          </w:p>
        </w:tc>
        <w:tc>
          <w:tcPr>
            <w:tcW w:type="dxa" w:w="1000"/>
          </w:tcPr>
          <w:p>
            <w:r>
              <w:rPr>
                <w:sz w:val="18"/>
                <w:szCs w:val="18"/>
              </w:rPr>
              <w:t xml:space="preserve">N/A</w:t>
            </w:r>
          </w:p>
        </w:tc>
        <w:tc>
          <w:tcPr>
            <w:tcW w:type="dxa" w:w="1100"/>
          </w:tcPr>
          <w:p>
            <w:r>
              <w:rPr>
                <w:sz w:val="18"/>
                <w:szCs w:val="18"/>
              </w:rPr>
              <w:t xml:space="preserve">1.900</w:t>
            </w:r>
          </w:p>
        </w:tc>
        <w:tc>
          <w:tcPr>
            <w:tcW w:type="dxa" w:w="900"/>
          </w:tcPr>
          <w:p>
            <w:r>
              <w:rPr>
                <w:sz w:val="18"/>
                <w:szCs w:val="18"/>
              </w:rPr>
              <w:t xml:space="preserve">3</w:t>
            </w:r>
          </w:p>
        </w:tc>
        <w:tc>
          <w:tcPr>
            <w:tcW w:type="dxa" w:w="1100"/>
          </w:tcPr>
          <w:p>
            <w:r>
              <w:rPr>
                <w:sz w:val="18"/>
                <w:szCs w:val="18"/>
              </w:rPr>
              <w:t xml:space="preserve">0.0031</w:t>
            </w:r>
          </w:p>
        </w:tc>
        <w:tc>
          <w:tcPr>
            <w:tcW w:type="dxa" w:w="1000"/>
          </w:tcPr>
          <w:p>
            <w:r>
              <w:rPr>
                <w:sz w:val="18"/>
                <w:szCs w:val="18"/>
              </w:rPr>
              <w:t xml:space="preserve">416</w:t>
            </w:r>
          </w:p>
        </w:tc>
      </w:tr>
      <w:tr>
        <w:tc>
          <w:tcPr>
            <w:tcW w:type="dxa" w:w="500"/>
          </w:tcPr>
          <w:p>
            <w:r>
              <w:rPr>
                <w:sz w:val="18"/>
                <w:szCs w:val="18"/>
              </w:rPr>
              <w:t xml:space="preserve">4B</w:t>
            </w:r>
          </w:p>
        </w:tc>
        <w:tc>
          <w:tcPr>
            <w:tcW w:type="dxa" w:w="900"/>
          </w:tcPr>
          <w:p>
            <w:r>
              <w:rPr>
                <w:sz w:val="18"/>
                <w:szCs w:val="18"/>
              </w:rPr>
              <w:t xml:space="preserve">Pass</w:t>
            </w:r>
          </w:p>
        </w:tc>
        <w:tc>
          <w:tcPr>
            <w:tcW w:type="dxa" w:w="1500"/>
          </w:tcPr>
          <w:p>
            <w:r>
              <w:rPr>
                <w:sz w:val="18"/>
                <w:szCs w:val="18"/>
              </w:rPr>
              <w:t xml:space="preserve">1→3→4</w:t>
            </w:r>
          </w:p>
        </w:tc>
        <w:tc>
          <w:tcPr>
            <w:tcW w:type="dxa" w:w="1300"/>
          </w:tcPr>
          <w:p>
            <w:r>
              <w:rPr>
                <w:sz w:val="18"/>
                <w:szCs w:val="18"/>
              </w:rPr>
              <w:t xml:space="preserve">3→4</w:t>
            </w:r>
          </w:p>
        </w:tc>
        <w:tc>
          <w:tcPr>
            <w:tcW w:type="dxa" w:w="700"/>
          </w:tcPr>
          <w:p>
            <w:r>
              <w:rPr>
                <w:sz w:val="18"/>
                <w:szCs w:val="18"/>
              </w:rPr>
              <w:t xml:space="preserve">2.800</w:t>
            </w:r>
          </w:p>
        </w:tc>
        <w:tc>
          <w:tcPr>
            <w:tcW w:type="dxa" w:w="1000"/>
          </w:tcPr>
          <w:p>
            <w:r>
              <w:rPr>
                <w:sz w:val="18"/>
                <w:szCs w:val="18"/>
              </w:rPr>
              <w:t xml:space="preserve">N/A</w:t>
            </w:r>
          </w:p>
        </w:tc>
        <w:tc>
          <w:tcPr>
            <w:tcW w:type="dxa" w:w="1100"/>
          </w:tcPr>
          <w:p>
            <w:r>
              <w:rPr>
                <w:sz w:val="18"/>
                <w:szCs w:val="18"/>
              </w:rPr>
              <w:t xml:space="preserve">1.900</w:t>
            </w:r>
          </w:p>
        </w:tc>
        <w:tc>
          <w:tcPr>
            <w:tcW w:type="dxa" w:w="900"/>
          </w:tcPr>
          <w:p>
            <w:r>
              <w:rPr>
                <w:sz w:val="18"/>
                <w:szCs w:val="18"/>
              </w:rPr>
              <w:t xml:space="preserve">4</w:t>
            </w:r>
          </w:p>
        </w:tc>
        <w:tc>
          <w:tcPr>
            <w:tcW w:type="dxa" w:w="1100"/>
          </w:tcPr>
          <w:p>
            <w:r>
              <w:rPr>
                <w:sz w:val="18"/>
                <w:szCs w:val="18"/>
              </w:rPr>
              <w:t xml:space="preserve">0.0015</w:t>
            </w:r>
          </w:p>
        </w:tc>
        <w:tc>
          <w:tcPr>
            <w:tcW w:type="dxa" w:w="1000"/>
          </w:tcPr>
          <w:p>
            <w:r>
              <w:rPr>
                <w:sz w:val="18"/>
                <w:szCs w:val="18"/>
              </w:rPr>
              <w:t xml:space="preserve">416</w:t>
            </w:r>
          </w:p>
        </w:tc>
      </w:tr>
      <w:tr>
        <w:tc>
          <w:tcPr>
            <w:tcW w:type="dxa" w:w="500"/>
          </w:tcPr>
          <w:p>
            <w:r>
              <w:rPr>
                <w:sz w:val="18"/>
                <w:szCs w:val="18"/>
              </w:rPr>
              <w:t xml:space="preserve">5</w:t>
            </w:r>
          </w:p>
        </w:tc>
        <w:tc>
          <w:tcPr>
            <w:tcW w:type="dxa" w:w="900"/>
          </w:tcPr>
          <w:p>
            <w:r>
              <w:rPr>
                <w:sz w:val="18"/>
                <w:szCs w:val="18"/>
              </w:rPr>
              <w:t xml:space="preserve">Pass</w:t>
            </w:r>
          </w:p>
        </w:tc>
        <w:tc>
          <w:tcPr>
            <w:tcW w:type="dxa" w:w="1500"/>
          </w:tcPr>
          <w:p>
            <w:r>
              <w:rPr>
                <w:sz w:val="18"/>
                <w:szCs w:val="18"/>
              </w:rPr>
              <w:t xml:space="preserve">1→4→5</w:t>
            </w:r>
          </w:p>
        </w:tc>
        <w:tc>
          <w:tcPr>
            <w:tcW w:type="dxa" w:w="1300"/>
          </w:tcPr>
          <w:p>
            <w:r>
              <w:rPr>
                <w:sz w:val="18"/>
                <w:szCs w:val="18"/>
              </w:rPr>
              <w:t xml:space="preserve">4→5</w:t>
            </w:r>
          </w:p>
        </w:tc>
        <w:tc>
          <w:tcPr>
            <w:tcW w:type="dxa" w:w="700"/>
          </w:tcPr>
          <w:p>
            <w:r>
              <w:rPr>
                <w:sz w:val="18"/>
                <w:szCs w:val="18"/>
              </w:rPr>
              <w:t xml:space="preserve">2.400</w:t>
            </w:r>
          </w:p>
        </w:tc>
        <w:tc>
          <w:tcPr>
            <w:tcW w:type="dxa" w:w="1000"/>
          </w:tcPr>
          <w:p>
            <w:r>
              <w:rPr>
                <w:sz w:val="18"/>
                <w:szCs w:val="18"/>
              </w:rPr>
              <w:t xml:space="preserve">0.950</w:t>
            </w:r>
          </w:p>
        </w:tc>
        <w:tc>
          <w:tcPr>
            <w:tcW w:type="dxa" w:w="1100"/>
          </w:tcPr>
          <w:p>
            <w:r>
              <w:rPr>
                <w:sz w:val="18"/>
                <w:szCs w:val="18"/>
              </w:rPr>
              <w:t xml:space="preserve">1.900</w:t>
            </w:r>
          </w:p>
        </w:tc>
        <w:tc>
          <w:tcPr>
            <w:tcW w:type="dxa" w:w="900"/>
          </w:tcPr>
          <w:p>
            <w:r>
              <w:rPr>
                <w:sz w:val="18"/>
                <w:szCs w:val="18"/>
              </w:rPr>
              <w:t xml:space="preserve">3</w:t>
            </w:r>
          </w:p>
        </w:tc>
        <w:tc>
          <w:tcPr>
            <w:tcW w:type="dxa" w:w="1100"/>
          </w:tcPr>
          <w:p>
            <w:r>
              <w:rPr>
                <w:sz w:val="18"/>
                <w:szCs w:val="18"/>
              </w:rPr>
              <w:t xml:space="preserve">0.0018</w:t>
            </w:r>
          </w:p>
        </w:tc>
        <w:tc>
          <w:tcPr>
            <w:tcW w:type="dxa" w:w="1000"/>
          </w:tcPr>
          <w:p>
            <w:r>
              <w:rPr>
                <w:sz w:val="18"/>
                <w:szCs w:val="18"/>
              </w:rPr>
              <w:t xml:space="preserve">792</w:t>
            </w:r>
          </w:p>
        </w:tc>
      </w:tr>
      <w:tr>
        <w:tc>
          <w:tcPr>
            <w:tcW w:type="dxa" w:w="500"/>
          </w:tcPr>
          <w:p>
            <w:r>
              <w:rPr>
                <w:sz w:val="18"/>
                <w:szCs w:val="18"/>
              </w:rPr>
              <w:t xml:space="preserve">6</w:t>
            </w:r>
          </w:p>
        </w:tc>
        <w:tc>
          <w:tcPr>
            <w:tcW w:type="dxa" w:w="900"/>
          </w:tcPr>
          <w:p>
            <w:r>
              <w:rPr>
                <w:sz w:val="18"/>
                <w:szCs w:val="18"/>
              </w:rPr>
              <w:t xml:space="preserve">Pass</w:t>
            </w:r>
          </w:p>
        </w:tc>
        <w:tc>
          <w:tcPr>
            <w:tcW w:type="dxa" w:w="1500"/>
          </w:tcPr>
          <w:p>
            <w:r>
              <w:rPr>
                <w:sz w:val="18"/>
                <w:szCs w:val="18"/>
              </w:rPr>
              <w:t xml:space="preserve">1→4→6</w:t>
            </w:r>
          </w:p>
        </w:tc>
        <w:tc>
          <w:tcPr>
            <w:tcW w:type="dxa" w:w="1300"/>
          </w:tcPr>
          <w:p>
            <w:r>
              <w:rPr>
                <w:sz w:val="18"/>
                <w:szCs w:val="18"/>
              </w:rPr>
              <w:t xml:space="preserve">4→99</w:t>
            </w:r>
          </w:p>
        </w:tc>
        <w:tc>
          <w:tcPr>
            <w:tcW w:type="dxa" w:w="700"/>
          </w:tcPr>
          <w:p>
            <w:r>
              <w:rPr>
                <w:sz w:val="18"/>
                <w:szCs w:val="18"/>
              </w:rPr>
              <w:t xml:space="preserve">1.400</w:t>
            </w:r>
          </w:p>
        </w:tc>
        <w:tc>
          <w:tcPr>
            <w:tcW w:type="dxa" w:w="1000"/>
          </w:tcPr>
          <w:p>
            <w:r>
              <w:rPr>
                <w:sz w:val="18"/>
                <w:szCs w:val="18"/>
              </w:rPr>
              <w:t xml:space="preserve">1.001</w:t>
            </w:r>
          </w:p>
        </w:tc>
        <w:tc>
          <w:tcPr>
            <w:tcW w:type="dxa" w:w="1100"/>
          </w:tcPr>
          <w:p>
            <w:r>
              <w:rPr>
                <w:sz w:val="18"/>
                <w:szCs w:val="18"/>
              </w:rPr>
              <w:t xml:space="preserve">1.940</w:t>
            </w:r>
          </w:p>
        </w:tc>
        <w:tc>
          <w:tcPr>
            <w:tcW w:type="dxa" w:w="900"/>
          </w:tcPr>
          <w:p>
            <w:r>
              <w:rPr>
                <w:sz w:val="18"/>
                <w:szCs w:val="18"/>
              </w:rPr>
              <w:t xml:space="preserve">2</w:t>
            </w:r>
          </w:p>
        </w:tc>
        <w:tc>
          <w:tcPr>
            <w:tcW w:type="dxa" w:w="1100"/>
          </w:tcPr>
          <w:p>
            <w:r>
              <w:rPr>
                <w:sz w:val="18"/>
                <w:szCs w:val="18"/>
              </w:rPr>
              <w:t xml:space="preserve">0.0006</w:t>
            </w:r>
          </w:p>
        </w:tc>
        <w:tc>
          <w:tcPr>
            <w:tcW w:type="dxa" w:w="1000"/>
          </w:tcPr>
          <w:p>
            <w:r>
              <w:rPr>
                <w:sz w:val="18"/>
                <w:szCs w:val="18"/>
              </w:rPr>
              <w:t xml:space="preserve">848</w:t>
            </w:r>
          </w:p>
        </w:tc>
      </w:tr>
    </w:tbl>
    <w:p>
      <w:pPr>
        <w:spacing w:before="150"/>
      </w:pPr>
      <w:r>
        <w:rPr>
          <w:i/>
          <w:iCs/>
          <w:sz w:val="18"/>
          <w:szCs w:val="18"/>
        </w:rPr>
        <w:t xml:space="preserve">Min Safety = N/A indicates the test case defines no bad states, so the notion of "distance to nearest bad state" does not apply; it is not a measured value of zero.</w:t>
      </w:r>
    </w:p>
    <w:p>
      <w:pPr>
        <w:pStyle w:val="Heading1"/>
        <w:spacing w:after="150" w:before="300"/>
      </w:pPr>
      <w:r>
        <w:rPr>
          <w:b/>
          <w:bCs/>
        </w:rPr>
        <w:t xml:space="preserve">3. Test Case Analysis</w:t>
      </w:r>
    </w:p>
    <w:p>
      <w:pPr>
        <w:pStyle w:val="Heading2"/>
        <w:spacing w:after="100" w:before="200"/>
      </w:pPr>
      <w:r>
        <w:rPr>
          <w:b/>
          <w:bCs/>
        </w:rPr>
        <w:t xml:space="preserve">Test Case 1 – Basic Reachability</w:t>
      </w:r>
    </w:p>
    <w:p>
      <w:pPr>
        <w:spacing w:after="150"/>
      </w:pPr>
      <w:r>
        <w:t xml:space="preserve">The planner reaches the goal using the unique route 1→2→3→4. The test verifies basic path construction.</w:t>
      </w:r>
    </w:p>
    <w:p>
      <w:pPr>
        <w:pStyle w:val="Heading2"/>
        <w:spacing w:after="100" w:before="200"/>
      </w:pPr>
      <w:r>
        <w:rPr>
          <w:b/>
          <w:bCs/>
        </w:rPr>
        <w:t xml:space="preserve">Test Case 2 – Bad State Avoidance</w:t>
      </w:r>
    </w:p>
    <w:p>
      <w:pPr>
        <w:spacing w:after="150"/>
      </w:pPr>
      <w:r>
        <w:t xml:space="preserve">The route containing the bad state is rejected. The planner selects 1→5→4, demonstrating that a bad state is never entered.</w:t>
      </w:r>
    </w:p>
    <w:p>
      <w:pPr>
        <w:pStyle w:val="Heading2"/>
        <w:spacing w:after="100" w:before="200"/>
      </w:pPr>
      <w:r>
        <w:rPr>
          <w:b/>
          <w:bCs/>
        </w:rPr>
        <w:t xml:space="preserve">Test Case 3 – Safety Margin</w:t>
      </w:r>
    </w:p>
    <w:p>
      <w:pPr>
        <w:spacing w:after="150"/>
      </w:pPr>
      <w:r>
        <w:t xml:space="preserve">The planner selects 1→5→6→4 under the safety-aware objective, even though a shorter route exists closer to the bad state. The reported minimum safety distance is 1.500.</w:t>
      </w:r>
    </w:p>
    <w:p>
      <w:pPr>
        <w:pStyle w:val="Heading2"/>
        <w:spacing w:after="100" w:before="200"/>
      </w:pPr>
      <w:r>
        <w:rPr>
          <w:b/>
          <w:bCs/>
        </w:rPr>
        <w:t xml:space="preserve">Test Case 4 – Dynamic Transition</w:t>
      </w:r>
    </w:p>
    <w:p>
      <w:pPr>
        <w:spacing w:after="150"/>
      </w:pPr>
      <w:r>
        <w:t xml:space="preserve">Initially the planner uses 1→2→4. After transition 2→4 becomes unavailable, it replans incrementally (without rebuilding the graph) and produces 1→3→4.</w:t>
      </w:r>
    </w:p>
    <w:p>
      <w:pPr>
        <w:pStyle w:val="Heading2"/>
        <w:spacing w:after="100" w:before="200"/>
      </w:pPr>
      <w:r>
        <w:rPr>
          <w:b/>
          <w:bCs/>
        </w:rPr>
        <w:t xml:space="preserve">Test Case 5 – Goal Update</w:t>
      </w:r>
    </w:p>
    <w:p>
      <w:pPr>
        <w:spacing w:after="150"/>
      </w:pPr>
      <w:r>
        <w:t xml:space="preserve">After changing the goal to state 5, the planner produces the revised path 1→4→5 without rebuilding the graph representation.</w:t>
      </w:r>
    </w:p>
    <w:p>
      <w:pPr>
        <w:pStyle w:val="Heading2"/>
        <w:spacing w:after="100" w:before="200"/>
      </w:pPr>
      <w:r>
        <w:rPr>
          <w:b/>
          <w:bCs/>
        </w:rPr>
        <w:t xml:space="preserve">Test Case 6 – Transition Addition</w:t>
      </w:r>
    </w:p>
    <w:p>
      <w:pPr>
        <w:spacing w:after="150"/>
      </w:pPr>
      <w:r>
        <w:t xml:space="preserve">After adding shortcut transition 99 from state 4 to state 6, the planner finds 1→4→6 with total raw cost 1.400. Only two states are newly explored during this incremental update, since the update propagates from the edited edge's source state rather than triggering a full re-search.</w:t>
      </w:r>
    </w:p>
    <w:p>
      <w:pPr>
        <w:pStyle w:val="Heading1"/>
        <w:spacing w:after="150" w:before="300"/>
      </w:pPr>
      <w:r>
        <w:rPr>
          <w:b/>
          <w:bCs/>
        </w:rPr>
        <w:t xml:space="preserve">4. Timing and Memory</w:t>
      </w:r>
    </w:p>
    <w:p>
      <w:pPr>
        <w:spacing w:after="150"/>
      </w:pPr>
      <w:r>
        <w:t xml:space="preserve">Planning/replanning time is measured with std::chrono::steady_clock around each plan() or incremental-update call. All six test cases complete in well under a millisecond on the graphs used here (4–7 states), consistent with the assignment's small illustrative test cases. The incremental updates (Test Cases 4B, 5, 6) are measured separately from the initial plan, so their times reflect replanning cost only, not the original search.</w:t>
      </w:r>
    </w:p>
    <w:p>
      <w:pPr>
        <w:spacing w:after="150"/>
      </w:pPr>
      <w:r>
        <w:t xml:space="preserve">Memory usage is an estimate of the planner's internal state (g/rhs value tables, transition records, state records, and the bad-state set), not the OS-reported process footprint. It grows with the number of states and transitions tracked, and is intended to give a relative sense of scaling rather than an exact byte count.</w:t>
      </w:r>
    </w:p>
    <w:p>
      <w:pPr>
        <w:pStyle w:val="Heading1"/>
        <w:spacing w:after="150" w:before="300"/>
      </w:pPr>
      <w:r>
        <w:rPr>
          <w:b/>
          <w:bCs/>
        </w:rPr>
        <w:t xml:space="preserve">5. Conclusion</w:t>
      </w:r>
    </w:p>
    <w:p>
      <w:pPr>
        <w:spacing w:after="150"/>
      </w:pPr>
      <w:r>
        <w:t xml:space="preserve">All six test cases completed successfully. The results demonstrate reachability, bad-state avoidance, safety-aware selection, and dynamic replanning after transition removal, goal change, and transition addition — each verified by compiling and executing the code, not by hand calculation.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2026-08-29T04:15:04.671Z</dcterms:created>
  <dcterms:modified xsi:type="dcterms:W3CDTF">2026-08-29T04:15:04.672Z</dcterms:modified>
</cp:coreProperties>
</file>

<file path=docProps/custom.xml><?xml version="1.0" encoding="utf-8"?>
<Properties xmlns="http://schemas.openxmlformats.org/officeDocument/2006/custom-properties" xmlns:vt="http://schemas.openxmlformats.org/officeDocument/2006/docPropsVTypes"/>
</file>