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68A56" w14:textId="77777777" w:rsidR="00D3502A" w:rsidRDefault="004410E4">
      <w:pPr>
        <w:jc w:val="center"/>
      </w:pPr>
      <w:r>
        <w:rPr>
          <w:b/>
          <w:sz w:val="40"/>
        </w:rPr>
        <w:t>DESIGN REPORT</w:t>
      </w:r>
    </w:p>
    <w:p w14:paraId="0FCEDBE3" w14:textId="5EFB2E75" w:rsidR="00D3502A" w:rsidRDefault="004410E4" w:rsidP="00A92012">
      <w:pPr>
        <w:jc w:val="center"/>
      </w:pPr>
      <w:r>
        <w:rPr>
          <w:sz w:val="22"/>
        </w:rPr>
        <w:t>Vector Embedding for Capability Composition</w:t>
      </w:r>
    </w:p>
    <w:p w14:paraId="70B9F9BA" w14:textId="0C92EFEB" w:rsidR="00D3502A" w:rsidRDefault="004410E4" w:rsidP="00CB1C0B">
      <w:pPr>
        <w:pStyle w:val="Heading2"/>
      </w:pPr>
      <w:r>
        <w:t>1</w:t>
      </w:r>
      <w:r>
        <w:t>.</w:t>
      </w:r>
      <w:r>
        <w:t xml:space="preserve"> </w:t>
      </w:r>
      <w:r>
        <w:t>P</w:t>
      </w:r>
      <w:r>
        <w:t>r</w:t>
      </w:r>
      <w:r>
        <w:t>o</w:t>
      </w:r>
      <w:r>
        <w:t>b</w:t>
      </w:r>
      <w:r>
        <w:t>l</w:t>
      </w:r>
      <w:r>
        <w:t>e</w:t>
      </w:r>
      <w:r>
        <w:t>m</w:t>
      </w:r>
      <w:r>
        <w:t xml:space="preserve"> </w:t>
      </w:r>
      <w:r>
        <w:t>D</w:t>
      </w:r>
      <w:r>
        <w:t>e</w:t>
      </w:r>
      <w:r>
        <w:t>f</w:t>
      </w:r>
      <w:r>
        <w:t>i</w:t>
      </w:r>
      <w:r>
        <w:t>nition</w:t>
      </w:r>
    </w:p>
    <w:p w14:paraId="29AE5825" w14:textId="77777777" w:rsidR="00D3502A" w:rsidRDefault="004410E4">
      <w:r>
        <w:t>T</w:t>
      </w:r>
      <w:r>
        <w:t>he assignment asks for a problem-specific vector representation of formally specified states, goals and executable capabilities. The representation must preserve functional relationships needed to identify compatible capabilities and construct complex capabilities from simpler ones. The brief explicitly moves the focus away from finding a planning sequence and toward representing the operations that make up that sequence.</w:t>
      </w:r>
    </w:p>
    <w:p w14:paraId="20785BC9" w14:textId="77777777" w:rsidR="00D3502A" w:rsidRDefault="004410E4">
      <w:r>
        <w:t>The supplied specification defines the application as A = (S, C, SI, G, R, K), where S is the state space, C the capability set, SI the initial state, G the goal specification, R the available resources and K the global constraints/policies. A capability contains type, inputs, outputs, preconditions, effects, constraints, resources, quality/cost, reliability, availability and execution mechanism.</w:t>
      </w:r>
    </w:p>
    <w:p w14:paraId="4465E76A" w14:textId="77777777" w:rsidR="00D3502A" w:rsidRDefault="004410E4">
      <w:r>
        <w:t>Source basis: the formal application model and scope are given on pages 2–4 of the supplied brief. fileciteturn0file0L72-L86</w:t>
      </w:r>
    </w:p>
    <w:p w14:paraId="146BAC98" w14:textId="77777777" w:rsidR="00D3502A" w:rsidRDefault="004410E4">
      <w:pPr>
        <w:pStyle w:val="Heading1"/>
      </w:pPr>
      <w:r>
        <w:t>2. Design Requirements</w:t>
      </w:r>
    </w:p>
    <w:tbl>
      <w:tblPr>
        <w:tblStyle w:val="TableGrid"/>
        <w:tblW w:w="0" w:type="auto"/>
        <w:jc w:val="center"/>
        <w:tblLook w:val="04A0" w:firstRow="1" w:lastRow="0" w:firstColumn="1" w:lastColumn="0" w:noHBand="0" w:noVBand="1"/>
      </w:tblPr>
      <w:tblGrid>
        <w:gridCol w:w="5040"/>
        <w:gridCol w:w="5040"/>
      </w:tblGrid>
      <w:tr w:rsidR="00D3502A" w14:paraId="583DF689" w14:textId="77777777">
        <w:trPr>
          <w:jc w:val="center"/>
        </w:trPr>
        <w:tc>
          <w:tcPr>
            <w:tcW w:w="5040" w:type="dxa"/>
            <w:shd w:val="clear" w:color="auto" w:fill="E7E6E6"/>
            <w:vAlign w:val="center"/>
          </w:tcPr>
          <w:p w14:paraId="01C909F5" w14:textId="77777777" w:rsidR="00D3502A" w:rsidRDefault="004410E4">
            <w:r>
              <w:rPr>
                <w:b/>
                <w:sz w:val="18"/>
              </w:rPr>
              <w:t>Requirement</w:t>
            </w:r>
          </w:p>
        </w:tc>
        <w:tc>
          <w:tcPr>
            <w:tcW w:w="5040" w:type="dxa"/>
            <w:shd w:val="clear" w:color="auto" w:fill="E7E6E6"/>
            <w:vAlign w:val="center"/>
          </w:tcPr>
          <w:p w14:paraId="188F9B1A" w14:textId="77777777" w:rsidR="00D3502A" w:rsidRDefault="004410E4">
            <w:r>
              <w:rPr>
                <w:b/>
                <w:sz w:val="18"/>
              </w:rPr>
              <w:t>Design response</w:t>
            </w:r>
          </w:p>
        </w:tc>
      </w:tr>
      <w:tr w:rsidR="00D3502A" w14:paraId="65A9372E" w14:textId="77777777">
        <w:trPr>
          <w:jc w:val="center"/>
        </w:trPr>
        <w:tc>
          <w:tcPr>
            <w:tcW w:w="5040" w:type="dxa"/>
            <w:vAlign w:val="center"/>
          </w:tcPr>
          <w:p w14:paraId="5C27B830" w14:textId="77777777" w:rsidR="00D3502A" w:rsidRDefault="004410E4">
            <w:r>
              <w:rPr>
                <w:sz w:val="18"/>
              </w:rPr>
              <w:t>Capability identity</w:t>
            </w:r>
          </w:p>
        </w:tc>
        <w:tc>
          <w:tcPr>
            <w:tcW w:w="5040" w:type="dxa"/>
            <w:vAlign w:val="center"/>
          </w:tcPr>
          <w:p w14:paraId="7AD20225" w14:textId="77777777" w:rsidR="00D3502A" w:rsidRDefault="004410E4">
            <w:r>
              <w:rPr>
                <w:sz w:val="18"/>
              </w:rPr>
              <w:t>Different capabilities receive distinguishable vectors.</w:t>
            </w:r>
          </w:p>
        </w:tc>
      </w:tr>
      <w:tr w:rsidR="00D3502A" w14:paraId="13E7DC79" w14:textId="77777777">
        <w:trPr>
          <w:jc w:val="center"/>
        </w:trPr>
        <w:tc>
          <w:tcPr>
            <w:tcW w:w="5040" w:type="dxa"/>
            <w:vAlign w:val="center"/>
          </w:tcPr>
          <w:p w14:paraId="27B6D5BA" w14:textId="77777777" w:rsidR="00D3502A" w:rsidRDefault="004410E4">
            <w:r>
              <w:rPr>
                <w:sz w:val="18"/>
              </w:rPr>
              <w:t>State awareness</w:t>
            </w:r>
          </w:p>
        </w:tc>
        <w:tc>
          <w:tcPr>
            <w:tcW w:w="5040" w:type="dxa"/>
            <w:vAlign w:val="center"/>
          </w:tcPr>
          <w:p w14:paraId="2C31F745" w14:textId="77777777" w:rsidR="00D3502A" w:rsidRDefault="004410E4">
            <w:r>
              <w:rPr>
                <w:sz w:val="18"/>
              </w:rPr>
              <w:t>State variables and values use the same condition feature space as goals.</w:t>
            </w:r>
          </w:p>
        </w:tc>
      </w:tr>
      <w:tr w:rsidR="00D3502A" w14:paraId="12D18D5D" w14:textId="77777777">
        <w:trPr>
          <w:jc w:val="center"/>
        </w:trPr>
        <w:tc>
          <w:tcPr>
            <w:tcW w:w="5040" w:type="dxa"/>
            <w:vAlign w:val="center"/>
          </w:tcPr>
          <w:p w14:paraId="4101CF98" w14:textId="77777777" w:rsidR="00D3502A" w:rsidRDefault="004410E4">
            <w:r>
              <w:rPr>
                <w:sz w:val="18"/>
              </w:rPr>
              <w:t>Precondition–effect compatibility</w:t>
            </w:r>
          </w:p>
        </w:tc>
        <w:tc>
          <w:tcPr>
            <w:tcW w:w="5040" w:type="dxa"/>
            <w:vAlign w:val="center"/>
          </w:tcPr>
          <w:p w14:paraId="7D85D88D" w14:textId="77777777" w:rsidR="00D3502A" w:rsidRDefault="004410E4">
            <w:r>
              <w:rPr>
                <w:sz w:val="18"/>
              </w:rPr>
              <w:t>Directional compatibility checks producer effects against consumer preconditions.</w:t>
            </w:r>
          </w:p>
        </w:tc>
      </w:tr>
      <w:tr w:rsidR="00D3502A" w14:paraId="4E87C5DD" w14:textId="77777777">
        <w:trPr>
          <w:jc w:val="center"/>
        </w:trPr>
        <w:tc>
          <w:tcPr>
            <w:tcW w:w="5040" w:type="dxa"/>
            <w:vAlign w:val="center"/>
          </w:tcPr>
          <w:p w14:paraId="0C28F13F" w14:textId="77777777" w:rsidR="00D3502A" w:rsidRDefault="004410E4">
            <w:r>
              <w:rPr>
                <w:sz w:val="18"/>
              </w:rPr>
              <w:t>Input–output compatibility</w:t>
            </w:r>
          </w:p>
        </w:tc>
        <w:tc>
          <w:tcPr>
            <w:tcW w:w="5040" w:type="dxa"/>
            <w:vAlign w:val="center"/>
          </w:tcPr>
          <w:p w14:paraId="19BBA3CE" w14:textId="77777777" w:rsidR="00D3502A" w:rsidRDefault="004410E4">
            <w:r>
              <w:rPr>
                <w:sz w:val="18"/>
              </w:rPr>
              <w:t>Produced outputs contribute to compatibility scoring against downstream inputs.</w:t>
            </w:r>
          </w:p>
        </w:tc>
      </w:tr>
      <w:tr w:rsidR="00D3502A" w14:paraId="095440D7" w14:textId="77777777">
        <w:trPr>
          <w:jc w:val="center"/>
        </w:trPr>
        <w:tc>
          <w:tcPr>
            <w:tcW w:w="5040" w:type="dxa"/>
            <w:vAlign w:val="center"/>
          </w:tcPr>
          <w:p w14:paraId="49BE99AF" w14:textId="77777777" w:rsidR="00D3502A" w:rsidRDefault="004410E4">
            <w:r>
              <w:rPr>
                <w:sz w:val="18"/>
              </w:rPr>
              <w:t>Similarity vs composability</w:t>
            </w:r>
          </w:p>
        </w:tc>
        <w:tc>
          <w:tcPr>
            <w:tcW w:w="5040" w:type="dxa"/>
            <w:vAlign w:val="center"/>
          </w:tcPr>
          <w:p w14:paraId="301AA5B8" w14:textId="77777777" w:rsidR="00D3502A" w:rsidRDefault="004410E4">
            <w:r>
              <w:rPr>
                <w:sz w:val="18"/>
              </w:rPr>
              <w:t>Cosine similarity is reported separately from functional compatibility.</w:t>
            </w:r>
          </w:p>
        </w:tc>
      </w:tr>
      <w:tr w:rsidR="00D3502A" w14:paraId="637C29F4" w14:textId="77777777">
        <w:trPr>
          <w:jc w:val="center"/>
        </w:trPr>
        <w:tc>
          <w:tcPr>
            <w:tcW w:w="5040" w:type="dxa"/>
            <w:vAlign w:val="center"/>
          </w:tcPr>
          <w:p w14:paraId="0048260A" w14:textId="77777777" w:rsidR="00D3502A" w:rsidRDefault="004410E4">
            <w:r>
              <w:rPr>
                <w:sz w:val="18"/>
              </w:rPr>
              <w:t>Composition</w:t>
            </w:r>
          </w:p>
        </w:tc>
        <w:tc>
          <w:tcPr>
            <w:tcW w:w="5040" w:type="dxa"/>
            <w:vAlign w:val="center"/>
          </w:tcPr>
          <w:p w14:paraId="6AE80E5E" w14:textId="77777777" w:rsidR="00D3502A" w:rsidRDefault="004410E4">
            <w:r>
              <w:rPr>
                <w:sz w:val="18"/>
              </w:rPr>
              <w:t>Atomic vectors are combined using order-aware positional weighting.</w:t>
            </w:r>
          </w:p>
        </w:tc>
      </w:tr>
      <w:tr w:rsidR="00D3502A" w14:paraId="49FA37C4" w14:textId="77777777">
        <w:trPr>
          <w:jc w:val="center"/>
        </w:trPr>
        <w:tc>
          <w:tcPr>
            <w:tcW w:w="5040" w:type="dxa"/>
            <w:vAlign w:val="center"/>
          </w:tcPr>
          <w:p w14:paraId="2D625CF8" w14:textId="77777777" w:rsidR="00D3502A" w:rsidRDefault="004410E4">
            <w:r>
              <w:rPr>
                <w:sz w:val="18"/>
              </w:rPr>
              <w:t>Goal relevance</w:t>
            </w:r>
          </w:p>
        </w:tc>
        <w:tc>
          <w:tcPr>
            <w:tcW w:w="5040" w:type="dxa"/>
            <w:vAlign w:val="center"/>
          </w:tcPr>
          <w:p w14:paraId="31955C14" w14:textId="77777777" w:rsidR="00D3502A" w:rsidRDefault="004410E4">
            <w:r>
              <w:rPr>
                <w:sz w:val="18"/>
              </w:rPr>
              <w:t>A direct effect-to-goal coverage score is computed.</w:t>
            </w:r>
          </w:p>
        </w:tc>
      </w:tr>
      <w:tr w:rsidR="00D3502A" w14:paraId="3C3EE909" w14:textId="77777777">
        <w:trPr>
          <w:jc w:val="center"/>
        </w:trPr>
        <w:tc>
          <w:tcPr>
            <w:tcW w:w="5040" w:type="dxa"/>
            <w:vAlign w:val="center"/>
          </w:tcPr>
          <w:p w14:paraId="1F3A4581" w14:textId="77777777" w:rsidR="00D3502A" w:rsidRDefault="004410E4">
            <w:r>
              <w:rPr>
                <w:sz w:val="18"/>
              </w:rPr>
              <w:t>Operational properties</w:t>
            </w:r>
          </w:p>
        </w:tc>
        <w:tc>
          <w:tcPr>
            <w:tcW w:w="5040" w:type="dxa"/>
            <w:vAlign w:val="center"/>
          </w:tcPr>
          <w:p w14:paraId="19891D8A" w14:textId="77777777" w:rsidR="00D3502A" w:rsidRDefault="004410E4">
            <w:r>
              <w:rPr>
                <w:sz w:val="18"/>
              </w:rPr>
              <w:t>Time, cost, risk, reliability, availability and I/O counts are embedded explicitly.</w:t>
            </w:r>
          </w:p>
        </w:tc>
      </w:tr>
    </w:tbl>
    <w:p w14:paraId="547ED70F" w14:textId="77777777" w:rsidR="00D3502A" w:rsidRDefault="00D3502A"/>
    <w:p w14:paraId="210D3DA8" w14:textId="77777777" w:rsidR="00D3502A" w:rsidRDefault="004410E4">
      <w:r>
        <w:t>These requirements match the required properties listed in the brief. fileciteturn0file0L297-L319</w:t>
      </w:r>
    </w:p>
    <w:p w14:paraId="14031C64" w14:textId="77777777" w:rsidR="00D3502A" w:rsidRDefault="004410E4">
      <w:pPr>
        <w:pStyle w:val="Heading1"/>
      </w:pPr>
      <w:r>
        <w:t>3. Related Embedding Approaches</w:t>
      </w:r>
    </w:p>
    <w:p w14:paraId="5664F14F" w14:textId="77777777" w:rsidR="00D3502A" w:rsidRDefault="004410E4">
      <w:r>
        <w:t>The brief introduces Word2Vec as motivation for distributed vector representations, but the assignment changes the target from semantic word relationships to functional relationships between capabilities.</w:t>
      </w:r>
    </w:p>
    <w:p w14:paraId="798A3A63" w14:textId="77777777" w:rsidR="00D3502A" w:rsidRDefault="004410E4">
      <w:pPr>
        <w:pStyle w:val="ListBullet"/>
      </w:pPr>
      <w:r>
        <w:t>Structured feature representation: fields are encoded by namespace.</w:t>
      </w:r>
    </w:p>
    <w:p w14:paraId="46EEEE3C" w14:textId="77777777" w:rsidR="00D3502A" w:rsidRDefault="004410E4">
      <w:pPr>
        <w:pStyle w:val="ListBullet"/>
      </w:pPr>
      <w:r>
        <w:t>Feature hashing: symbolic features map deterministically into fixed buckets, avoiding a learned vocabulary.</w:t>
      </w:r>
    </w:p>
    <w:p w14:paraId="573660D1" w14:textId="77777777" w:rsidR="00D3502A" w:rsidRDefault="004410E4">
      <w:pPr>
        <w:pStyle w:val="ListBullet"/>
      </w:pPr>
      <w:r>
        <w:t>Compositional vector arithmetic: capability vectors are combined with positional weights; symbolic compatibility remains explicit.</w:t>
      </w:r>
    </w:p>
    <w:p w14:paraId="5C2D16C7" w14:textId="77777777" w:rsidR="00D3502A" w:rsidRDefault="004410E4">
      <w:r>
        <w:t>The brief explicitly states that no single embedding technique is prescribed; the student is expected to design, justify, implement and evaluate a problem-specific solution.</w:t>
      </w:r>
    </w:p>
    <w:p w14:paraId="48CFBCDD" w14:textId="77777777" w:rsidR="00D3502A" w:rsidRDefault="004410E4">
      <w:pPr>
        <w:pStyle w:val="Heading1"/>
      </w:pPr>
      <w:r>
        <w:lastRenderedPageBreak/>
        <w:t>4. Proposed Representation</w:t>
      </w:r>
    </w:p>
    <w:tbl>
      <w:tblPr>
        <w:tblStyle w:val="TableGrid"/>
        <w:tblW w:w="0" w:type="auto"/>
        <w:jc w:val="center"/>
        <w:tblLook w:val="04A0" w:firstRow="1" w:lastRow="0" w:firstColumn="1" w:lastColumn="0" w:noHBand="0" w:noVBand="1"/>
      </w:tblPr>
      <w:tblGrid>
        <w:gridCol w:w="3360"/>
        <w:gridCol w:w="3360"/>
        <w:gridCol w:w="3360"/>
      </w:tblGrid>
      <w:tr w:rsidR="00D3502A" w14:paraId="1DA434B5" w14:textId="77777777">
        <w:trPr>
          <w:jc w:val="center"/>
        </w:trPr>
        <w:tc>
          <w:tcPr>
            <w:tcW w:w="3360" w:type="dxa"/>
            <w:shd w:val="clear" w:color="auto" w:fill="E7E6E6"/>
            <w:vAlign w:val="center"/>
          </w:tcPr>
          <w:p w14:paraId="648D4BB1" w14:textId="77777777" w:rsidR="00D3502A" w:rsidRDefault="004410E4">
            <w:r>
              <w:rPr>
                <w:b/>
                <w:sz w:val="18"/>
              </w:rPr>
              <w:t>Vector region</w:t>
            </w:r>
          </w:p>
        </w:tc>
        <w:tc>
          <w:tcPr>
            <w:tcW w:w="3360" w:type="dxa"/>
            <w:shd w:val="clear" w:color="auto" w:fill="E7E6E6"/>
            <w:vAlign w:val="center"/>
          </w:tcPr>
          <w:p w14:paraId="1B9DA43D" w14:textId="77777777" w:rsidR="00D3502A" w:rsidRDefault="004410E4">
            <w:r>
              <w:rPr>
                <w:b/>
                <w:sz w:val="18"/>
              </w:rPr>
              <w:t>Dimensions</w:t>
            </w:r>
          </w:p>
        </w:tc>
        <w:tc>
          <w:tcPr>
            <w:tcW w:w="3360" w:type="dxa"/>
            <w:shd w:val="clear" w:color="auto" w:fill="E7E6E6"/>
            <w:vAlign w:val="center"/>
          </w:tcPr>
          <w:p w14:paraId="09B270F6" w14:textId="77777777" w:rsidR="00D3502A" w:rsidRDefault="004410E4">
            <w:r>
              <w:rPr>
                <w:b/>
                <w:sz w:val="18"/>
              </w:rPr>
              <w:t>Content</w:t>
            </w:r>
          </w:p>
        </w:tc>
      </w:tr>
      <w:tr w:rsidR="00D3502A" w14:paraId="7EBBDD43" w14:textId="77777777">
        <w:trPr>
          <w:jc w:val="center"/>
        </w:trPr>
        <w:tc>
          <w:tcPr>
            <w:tcW w:w="3360" w:type="dxa"/>
            <w:vAlign w:val="center"/>
          </w:tcPr>
          <w:p w14:paraId="3F86C517" w14:textId="77777777" w:rsidR="00D3502A" w:rsidRDefault="004410E4">
            <w:r>
              <w:rPr>
                <w:sz w:val="18"/>
              </w:rPr>
              <w:t>Hashed symbolic features</w:t>
            </w:r>
          </w:p>
        </w:tc>
        <w:tc>
          <w:tcPr>
            <w:tcW w:w="3360" w:type="dxa"/>
            <w:vAlign w:val="center"/>
          </w:tcPr>
          <w:p w14:paraId="3043EC2E" w14:textId="77777777" w:rsidR="00D3502A" w:rsidRDefault="004410E4">
            <w:r>
              <w:rPr>
                <w:sz w:val="18"/>
              </w:rPr>
              <w:t>0–31</w:t>
            </w:r>
          </w:p>
        </w:tc>
        <w:tc>
          <w:tcPr>
            <w:tcW w:w="3360" w:type="dxa"/>
            <w:vAlign w:val="center"/>
          </w:tcPr>
          <w:p w14:paraId="38C87EF9" w14:textId="77777777" w:rsidR="00D3502A" w:rsidRDefault="004410E4">
            <w:r>
              <w:rPr>
                <w:sz w:val="18"/>
              </w:rPr>
              <w:t>Type, mechanism, inputs, outputs, preconditions and effects.</w:t>
            </w:r>
          </w:p>
        </w:tc>
      </w:tr>
      <w:tr w:rsidR="00D3502A" w14:paraId="715C612B" w14:textId="77777777">
        <w:trPr>
          <w:jc w:val="center"/>
        </w:trPr>
        <w:tc>
          <w:tcPr>
            <w:tcW w:w="3360" w:type="dxa"/>
            <w:vAlign w:val="center"/>
          </w:tcPr>
          <w:p w14:paraId="08244622" w14:textId="77777777" w:rsidR="00D3502A" w:rsidRDefault="004410E4">
            <w:r>
              <w:rPr>
                <w:sz w:val="18"/>
              </w:rPr>
              <w:t>Secondary hashed features</w:t>
            </w:r>
          </w:p>
        </w:tc>
        <w:tc>
          <w:tcPr>
            <w:tcW w:w="3360" w:type="dxa"/>
            <w:vAlign w:val="center"/>
          </w:tcPr>
          <w:p w14:paraId="72A34451" w14:textId="77777777" w:rsidR="00D3502A" w:rsidRDefault="004410E4">
            <w:r>
              <w:rPr>
                <w:sz w:val="18"/>
              </w:rPr>
              <w:t>32–55</w:t>
            </w:r>
          </w:p>
        </w:tc>
        <w:tc>
          <w:tcPr>
            <w:tcW w:w="3360" w:type="dxa"/>
            <w:vAlign w:val="center"/>
          </w:tcPr>
          <w:p w14:paraId="7C80B994" w14:textId="77777777" w:rsidR="00D3502A" w:rsidRDefault="004410E4">
            <w:r>
              <w:rPr>
                <w:sz w:val="18"/>
              </w:rPr>
              <w:t>Constraints and resource requirements.</w:t>
            </w:r>
          </w:p>
        </w:tc>
      </w:tr>
      <w:tr w:rsidR="00D3502A" w14:paraId="46117A0A" w14:textId="77777777">
        <w:trPr>
          <w:jc w:val="center"/>
        </w:trPr>
        <w:tc>
          <w:tcPr>
            <w:tcW w:w="3360" w:type="dxa"/>
            <w:vAlign w:val="center"/>
          </w:tcPr>
          <w:p w14:paraId="000898F3" w14:textId="77777777" w:rsidR="00D3502A" w:rsidRDefault="004410E4">
            <w:r>
              <w:rPr>
                <w:sz w:val="18"/>
              </w:rPr>
              <w:t>Operational features</w:t>
            </w:r>
          </w:p>
        </w:tc>
        <w:tc>
          <w:tcPr>
            <w:tcW w:w="3360" w:type="dxa"/>
            <w:vAlign w:val="center"/>
          </w:tcPr>
          <w:p w14:paraId="64E04C29" w14:textId="77777777" w:rsidR="00D3502A" w:rsidRDefault="004410E4">
            <w:r>
              <w:rPr>
                <w:sz w:val="18"/>
              </w:rPr>
              <w:t>56–63</w:t>
            </w:r>
          </w:p>
        </w:tc>
        <w:tc>
          <w:tcPr>
            <w:tcW w:w="3360" w:type="dxa"/>
            <w:vAlign w:val="center"/>
          </w:tcPr>
          <w:p w14:paraId="0BD6AF58" w14:textId="77777777" w:rsidR="00D3502A" w:rsidRDefault="004410E4">
            <w:r>
              <w:rPr>
                <w:sz w:val="18"/>
              </w:rPr>
              <w:t>Time, resource cost, monetary cost, risk, reliability, availability, input count, output count.</w:t>
            </w:r>
          </w:p>
        </w:tc>
      </w:tr>
    </w:tbl>
    <w:p w14:paraId="2783BEE1" w14:textId="77777777" w:rsidR="00D3502A" w:rsidRDefault="00D3502A"/>
    <w:p w14:paraId="043E9123" w14:textId="77777777" w:rsidR="00D3502A" w:rsidRDefault="004410E4">
      <w:r>
        <w:t>The formal capability tuple in the brief is Ci = (Ti, Ii, Oi, Pi, Ei, Ki, Ri, Qi, Reli, Ai, Mi). The SCE implementation maps these components into the fixed vector. fileciteturn0file0L119-L152</w:t>
      </w:r>
    </w:p>
    <w:p w14:paraId="6F52A58F" w14:textId="77777777" w:rsidR="00D3502A" w:rsidRDefault="004410E4">
      <w:pPr>
        <w:pStyle w:val="Heading1"/>
      </w:pPr>
      <w:r>
        <w:t>5. Mathematical Formulation</w:t>
      </w:r>
    </w:p>
    <w:p w14:paraId="50A6417B" w14:textId="77777777" w:rsidR="00D3502A" w:rsidRDefault="004410E4">
      <w:r>
        <w:rPr>
          <w:rFonts w:ascii="Consolas" w:hAnsi="Consolas"/>
          <w:sz w:val="16"/>
        </w:rPr>
        <w:t>φ(C) = Normalize(Hash(type, mechanism, inputs, outputs,</w:t>
      </w:r>
      <w:r>
        <w:rPr>
          <w:rFonts w:ascii="Consolas" w:hAnsi="Consolas"/>
          <w:sz w:val="16"/>
        </w:rPr>
        <w:br/>
        <w:t xml:space="preserve">                 preconditions, effects, constraints, resources)</w:t>
      </w:r>
      <w:r>
        <w:rPr>
          <w:rFonts w:ascii="Consolas" w:hAnsi="Consolas"/>
          <w:sz w:val="16"/>
        </w:rPr>
        <w:br/>
        <w:t xml:space="preserve">                 ⊕ Operational(C))</w:t>
      </w:r>
    </w:p>
    <w:p w14:paraId="152AE021" w14:textId="77777777" w:rsidR="00D3502A" w:rsidRDefault="004410E4">
      <w:r>
        <w:t>Cosine similarity:</w:t>
      </w:r>
    </w:p>
    <w:p w14:paraId="28E520AA" w14:textId="77777777" w:rsidR="00D3502A" w:rsidRDefault="004410E4">
      <w:r>
        <w:rPr>
          <w:rFonts w:ascii="Consolas" w:hAnsi="Consolas"/>
          <w:sz w:val="16"/>
        </w:rPr>
        <w:t>sim(x,y) = (x · y) / (||x|| ||y||)</w:t>
      </w:r>
    </w:p>
    <w:p w14:paraId="7922E8F4" w14:textId="77777777" w:rsidR="00D3502A" w:rsidRDefault="004410E4">
      <w:r>
        <w:t>Functional compatibility is directional. For A → B, the implementation computes precondition coverage from A's effects satisfying B's preconditions and gives a secondary contribution to input/output overlap. The reported compatibility score is 0.7 × precondition coverage + 0.3 × input/output coverage. A chain is accepted when all downstream preconditions are satisfied.</w:t>
      </w:r>
    </w:p>
    <w:p w14:paraId="4B4FD89E" w14:textId="77777777" w:rsidR="00D3502A" w:rsidRDefault="004410E4">
      <w:r>
        <w:t>This follows the brief's explicit distinction between functional similarity and composability. fileciteturn0file0L304-L319</w:t>
      </w:r>
    </w:p>
    <w:p w14:paraId="51360887" w14:textId="77777777" w:rsidR="00D3502A" w:rsidRDefault="004410E4">
      <w:pPr>
        <w:pStyle w:val="Heading1"/>
      </w:pPr>
      <w:r>
        <w:t>6. Capability Composition Model</w:t>
      </w:r>
    </w:p>
    <w:p w14:paraId="20F208CC" w14:textId="77777777" w:rsidR="00D3502A" w:rsidRDefault="004410E4">
      <w:r>
        <w:t>For a chain C1, C2, …, Cn, the composite vector uses positional weights wi = 1/i:</w:t>
      </w:r>
    </w:p>
    <w:p w14:paraId="00484737" w14:textId="77777777" w:rsidR="00D3502A" w:rsidRDefault="004410E4">
      <w:r>
        <w:rPr>
          <w:rFonts w:ascii="Consolas" w:hAnsi="Consolas"/>
          <w:sz w:val="16"/>
        </w:rPr>
        <w:t>Vcomp = Normalize( Σ(i=1..n) (1/i) · φ(Ci) + step-signature features )</w:t>
      </w:r>
    </w:p>
    <w:p w14:paraId="6FE0B8EF" w14:textId="77777777" w:rsidR="00D3502A" w:rsidRDefault="004410E4">
      <w:r>
        <w:t>The composite capability object takes its initial preconditions from the first capability, unions effects/outputs/resources/constraints, sums execution time and costs, accumulates risk as 1 − Π(1 − risk_i), multiplies reliability, and requires all components to be available.</w:t>
      </w:r>
    </w:p>
    <w:p w14:paraId="1B238C42" w14:textId="77777777" w:rsidR="00D3502A" w:rsidRDefault="004410E4">
      <w:r>
        <w:t>The composition rule is aligned with the brief's example CompletePurchase = MakePayment ◦ CreateOrder. fileciteturn0file0L266-L280</w:t>
      </w:r>
    </w:p>
    <w:p w14:paraId="3DC88356" w14:textId="77777777" w:rsidR="00D3502A" w:rsidRDefault="004410E4">
      <w:pPr>
        <w:pStyle w:val="Heading1"/>
      </w:pPr>
      <w:r>
        <w:t>7. Implementation</w:t>
      </w:r>
    </w:p>
    <w:p w14:paraId="50635F65" w14:textId="77777777" w:rsidR="00D3502A" w:rsidRDefault="004410E4">
      <w:r>
        <w:t>The implementation is a standalone C++17 program using only the standard library. It provides encoding, cosine similarity, compatibility, composition, goal relevance and consistency checks. The dataset includes CreateOrder, MakePayment, CancelCart, SendNotification, API/database/GUI alternatives and UpdateProfile.</w:t>
      </w:r>
    </w:p>
    <w:p w14:paraId="00E48281" w14:textId="77777777" w:rsidR="00AF4D2A" w:rsidRDefault="00AF4D2A">
      <w:pPr>
        <w:pStyle w:val="Heading1"/>
      </w:pPr>
    </w:p>
    <w:p w14:paraId="0F4F87C7" w14:textId="18FEC551" w:rsidR="00D3502A" w:rsidRDefault="004410E4">
      <w:pPr>
        <w:pStyle w:val="Heading1"/>
      </w:pPr>
      <w:r>
        <w:t>8. Experimental Methodology</w:t>
      </w:r>
    </w:p>
    <w:tbl>
      <w:tblPr>
        <w:tblStyle w:val="TableGrid"/>
        <w:tblW w:w="0" w:type="auto"/>
        <w:jc w:val="center"/>
        <w:tblLook w:val="04A0" w:firstRow="1" w:lastRow="0" w:firstColumn="1" w:lastColumn="0" w:noHBand="0" w:noVBand="1"/>
      </w:tblPr>
      <w:tblGrid>
        <w:gridCol w:w="5040"/>
        <w:gridCol w:w="5040"/>
      </w:tblGrid>
      <w:tr w:rsidR="00D3502A" w14:paraId="263F6FA3" w14:textId="77777777">
        <w:trPr>
          <w:jc w:val="center"/>
        </w:trPr>
        <w:tc>
          <w:tcPr>
            <w:tcW w:w="5040" w:type="dxa"/>
            <w:shd w:val="clear" w:color="auto" w:fill="E7E6E6"/>
            <w:vAlign w:val="center"/>
          </w:tcPr>
          <w:p w14:paraId="791887D9" w14:textId="77777777" w:rsidR="00D3502A" w:rsidRDefault="004410E4">
            <w:r>
              <w:rPr>
                <w:b/>
                <w:sz w:val="18"/>
              </w:rPr>
              <w:t>Experiment</w:t>
            </w:r>
          </w:p>
        </w:tc>
        <w:tc>
          <w:tcPr>
            <w:tcW w:w="5040" w:type="dxa"/>
            <w:shd w:val="clear" w:color="auto" w:fill="E7E6E6"/>
            <w:vAlign w:val="center"/>
          </w:tcPr>
          <w:p w14:paraId="3D2096A1" w14:textId="77777777" w:rsidR="00D3502A" w:rsidRDefault="004410E4">
            <w:r>
              <w:rPr>
                <w:b/>
                <w:sz w:val="18"/>
              </w:rPr>
              <w:t>Question</w:t>
            </w:r>
          </w:p>
        </w:tc>
      </w:tr>
      <w:tr w:rsidR="00D3502A" w14:paraId="4A13DDB8" w14:textId="77777777">
        <w:trPr>
          <w:jc w:val="center"/>
        </w:trPr>
        <w:tc>
          <w:tcPr>
            <w:tcW w:w="5040" w:type="dxa"/>
            <w:vAlign w:val="center"/>
          </w:tcPr>
          <w:p w14:paraId="6AAA8F30" w14:textId="77777777" w:rsidR="00D3502A" w:rsidRDefault="004410E4">
            <w:r>
              <w:rPr>
                <w:sz w:val="18"/>
              </w:rPr>
              <w:t>1. Compatibility</w:t>
            </w:r>
          </w:p>
        </w:tc>
        <w:tc>
          <w:tcPr>
            <w:tcW w:w="5040" w:type="dxa"/>
            <w:vAlign w:val="center"/>
          </w:tcPr>
          <w:p w14:paraId="2C440F83" w14:textId="77777777" w:rsidR="00D3502A" w:rsidRDefault="004410E4">
            <w:r>
              <w:rPr>
                <w:sz w:val="18"/>
              </w:rPr>
              <w:t>Can CreateOrder compose with MakePayment but not CancelCart?</w:t>
            </w:r>
          </w:p>
        </w:tc>
      </w:tr>
      <w:tr w:rsidR="00D3502A" w14:paraId="2806F6AF" w14:textId="77777777">
        <w:trPr>
          <w:jc w:val="center"/>
        </w:trPr>
        <w:tc>
          <w:tcPr>
            <w:tcW w:w="5040" w:type="dxa"/>
            <w:vAlign w:val="center"/>
          </w:tcPr>
          <w:p w14:paraId="772DC078" w14:textId="77777777" w:rsidR="00D3502A" w:rsidRDefault="004410E4">
            <w:r>
              <w:rPr>
                <w:sz w:val="18"/>
              </w:rPr>
              <w:t>2. Composition</w:t>
            </w:r>
          </w:p>
        </w:tc>
        <w:tc>
          <w:tcPr>
            <w:tcW w:w="5040" w:type="dxa"/>
            <w:vAlign w:val="center"/>
          </w:tcPr>
          <w:p w14:paraId="313DB9A0" w14:textId="77777777" w:rsidR="00D3502A" w:rsidRDefault="004410E4">
            <w:r>
              <w:rPr>
                <w:sz w:val="18"/>
              </w:rPr>
              <w:t>Can CreateOrder → MakePayment → SendNotification be represented?</w:t>
            </w:r>
          </w:p>
        </w:tc>
      </w:tr>
      <w:tr w:rsidR="00D3502A" w14:paraId="7029EEF2" w14:textId="77777777">
        <w:trPr>
          <w:jc w:val="center"/>
        </w:trPr>
        <w:tc>
          <w:tcPr>
            <w:tcW w:w="5040" w:type="dxa"/>
            <w:vAlign w:val="center"/>
          </w:tcPr>
          <w:p w14:paraId="2E325CF6" w14:textId="77777777" w:rsidR="00D3502A" w:rsidRDefault="004410E4">
            <w:r>
              <w:rPr>
                <w:sz w:val="18"/>
              </w:rPr>
              <w:t>3. Alternative implementations</w:t>
            </w:r>
          </w:p>
        </w:tc>
        <w:tc>
          <w:tcPr>
            <w:tcW w:w="5040" w:type="dxa"/>
            <w:vAlign w:val="center"/>
          </w:tcPr>
          <w:p w14:paraId="5D25047C" w14:textId="77777777" w:rsidR="00D3502A" w:rsidRDefault="004410E4">
            <w:r>
              <w:rPr>
                <w:sz w:val="18"/>
              </w:rPr>
              <w:t>Are API, database and GUI implementations functionally related but not identical?</w:t>
            </w:r>
          </w:p>
        </w:tc>
      </w:tr>
      <w:tr w:rsidR="00D3502A" w14:paraId="785A528C" w14:textId="77777777">
        <w:trPr>
          <w:jc w:val="center"/>
        </w:trPr>
        <w:tc>
          <w:tcPr>
            <w:tcW w:w="5040" w:type="dxa"/>
            <w:vAlign w:val="center"/>
          </w:tcPr>
          <w:p w14:paraId="13C0BB51" w14:textId="77777777" w:rsidR="00D3502A" w:rsidRDefault="004410E4">
            <w:r>
              <w:rPr>
                <w:sz w:val="18"/>
              </w:rPr>
              <w:t>4. Irrelevant capability</w:t>
            </w:r>
          </w:p>
        </w:tc>
        <w:tc>
          <w:tcPr>
            <w:tcW w:w="5040" w:type="dxa"/>
            <w:vAlign w:val="center"/>
          </w:tcPr>
          <w:p w14:paraId="63DEE093" w14:textId="77777777" w:rsidR="00D3502A" w:rsidRDefault="004410E4">
            <w:r>
              <w:rPr>
                <w:sz w:val="18"/>
              </w:rPr>
              <w:t>Is UpdateProfile separated from the purchase goal?</w:t>
            </w:r>
          </w:p>
        </w:tc>
      </w:tr>
      <w:tr w:rsidR="00D3502A" w14:paraId="5AE23085" w14:textId="77777777">
        <w:trPr>
          <w:jc w:val="center"/>
        </w:trPr>
        <w:tc>
          <w:tcPr>
            <w:tcW w:w="5040" w:type="dxa"/>
            <w:vAlign w:val="center"/>
          </w:tcPr>
          <w:p w14:paraId="3C1DBB52" w14:textId="77777777" w:rsidR="00D3502A" w:rsidRDefault="004410E4">
            <w:r>
              <w:rPr>
                <w:sz w:val="18"/>
              </w:rPr>
              <w:t>5. Operational attributes</w:t>
            </w:r>
          </w:p>
        </w:tc>
        <w:tc>
          <w:tcPr>
            <w:tcW w:w="5040" w:type="dxa"/>
            <w:vAlign w:val="center"/>
          </w:tcPr>
          <w:p w14:paraId="5BA8195F" w14:textId="77777777" w:rsidR="00D3502A" w:rsidRDefault="004410E4">
            <w:r>
              <w:rPr>
                <w:sz w:val="18"/>
              </w:rPr>
              <w:t>Do cost/risk/reliability/availability/time influence vectors?</w:t>
            </w:r>
          </w:p>
        </w:tc>
      </w:tr>
      <w:tr w:rsidR="00D3502A" w14:paraId="2536025A" w14:textId="77777777">
        <w:trPr>
          <w:jc w:val="center"/>
        </w:trPr>
        <w:tc>
          <w:tcPr>
            <w:tcW w:w="5040" w:type="dxa"/>
            <w:vAlign w:val="center"/>
          </w:tcPr>
          <w:p w14:paraId="326C4472" w14:textId="77777777" w:rsidR="00D3502A" w:rsidRDefault="004410E4">
            <w:r>
              <w:rPr>
                <w:sz w:val="18"/>
              </w:rPr>
              <w:t>6. State/goal</w:t>
            </w:r>
          </w:p>
        </w:tc>
        <w:tc>
          <w:tcPr>
            <w:tcW w:w="5040" w:type="dxa"/>
            <w:vAlign w:val="center"/>
          </w:tcPr>
          <w:p w14:paraId="7E8A92FD" w14:textId="77777777" w:rsidR="00D3502A" w:rsidRDefault="004410E4">
            <w:r>
              <w:rPr>
                <w:sz w:val="18"/>
              </w:rPr>
              <w:t>Can initial state and goal be compared?</w:t>
            </w:r>
          </w:p>
        </w:tc>
      </w:tr>
      <w:tr w:rsidR="00D3502A" w14:paraId="27C29896" w14:textId="77777777">
        <w:trPr>
          <w:jc w:val="center"/>
        </w:trPr>
        <w:tc>
          <w:tcPr>
            <w:tcW w:w="5040" w:type="dxa"/>
            <w:vAlign w:val="center"/>
          </w:tcPr>
          <w:p w14:paraId="2404F5B6" w14:textId="77777777" w:rsidR="00D3502A" w:rsidRDefault="004410E4">
            <w:r>
              <w:rPr>
                <w:sz w:val="18"/>
              </w:rPr>
              <w:t>7. Consistency</w:t>
            </w:r>
          </w:p>
        </w:tc>
        <w:tc>
          <w:tcPr>
            <w:tcW w:w="5040" w:type="dxa"/>
            <w:vAlign w:val="center"/>
          </w:tcPr>
          <w:p w14:paraId="6D5317BD" w14:textId="77777777" w:rsidR="00D3502A" w:rsidRDefault="004410E4">
            <w:r>
              <w:rPr>
                <w:sz w:val="18"/>
              </w:rPr>
              <w:t>Is the encoding deterministic?</w:t>
            </w:r>
          </w:p>
        </w:tc>
      </w:tr>
    </w:tbl>
    <w:p w14:paraId="6F646DC2" w14:textId="77777777" w:rsidR="00D3502A" w:rsidRDefault="00D3502A"/>
    <w:p w14:paraId="7AD39F50" w14:textId="77777777" w:rsidR="00D3502A" w:rsidRDefault="004410E4">
      <w:r>
        <w:t>The first five categories correspond to the required experiments in the brief. fileciteturn0file0L328-L351</w:t>
      </w:r>
    </w:p>
    <w:p w14:paraId="2393B960" w14:textId="77777777" w:rsidR="00D3502A" w:rsidRDefault="004410E4">
      <w:pPr>
        <w:pStyle w:val="Heading1"/>
      </w:pPr>
      <w:r>
        <w:t>9. Results</w:t>
      </w:r>
    </w:p>
    <w:tbl>
      <w:tblPr>
        <w:tblStyle w:val="TableGrid"/>
        <w:tblW w:w="0" w:type="auto"/>
        <w:jc w:val="center"/>
        <w:tblLook w:val="04A0" w:firstRow="1" w:lastRow="0" w:firstColumn="1" w:lastColumn="0" w:noHBand="0" w:noVBand="1"/>
      </w:tblPr>
      <w:tblGrid>
        <w:gridCol w:w="5040"/>
        <w:gridCol w:w="5040"/>
      </w:tblGrid>
      <w:tr w:rsidR="00D3502A" w14:paraId="5D2AB450" w14:textId="77777777">
        <w:trPr>
          <w:jc w:val="center"/>
        </w:trPr>
        <w:tc>
          <w:tcPr>
            <w:tcW w:w="5040" w:type="dxa"/>
            <w:shd w:val="clear" w:color="auto" w:fill="E7E6E6"/>
            <w:vAlign w:val="center"/>
          </w:tcPr>
          <w:p w14:paraId="753B4E58" w14:textId="77777777" w:rsidR="00D3502A" w:rsidRDefault="004410E4">
            <w:r>
              <w:rPr>
                <w:b/>
                <w:sz w:val="18"/>
              </w:rPr>
              <w:t>Metric</w:t>
            </w:r>
          </w:p>
        </w:tc>
        <w:tc>
          <w:tcPr>
            <w:tcW w:w="5040" w:type="dxa"/>
            <w:shd w:val="clear" w:color="auto" w:fill="E7E6E6"/>
            <w:vAlign w:val="center"/>
          </w:tcPr>
          <w:p w14:paraId="7F398831" w14:textId="77777777" w:rsidR="00D3502A" w:rsidRDefault="004410E4">
            <w:r>
              <w:rPr>
                <w:b/>
                <w:sz w:val="18"/>
              </w:rPr>
              <w:t>Observed result</w:t>
            </w:r>
          </w:p>
        </w:tc>
      </w:tr>
      <w:tr w:rsidR="00D3502A" w14:paraId="469C4DE1" w14:textId="77777777">
        <w:trPr>
          <w:jc w:val="center"/>
        </w:trPr>
        <w:tc>
          <w:tcPr>
            <w:tcW w:w="5040" w:type="dxa"/>
            <w:vAlign w:val="center"/>
          </w:tcPr>
          <w:p w14:paraId="4A544C49" w14:textId="77777777" w:rsidR="00D3502A" w:rsidRDefault="004410E4">
            <w:r>
              <w:rPr>
                <w:sz w:val="18"/>
              </w:rPr>
              <w:t>CreateOrder → MakePayment compatibility</w:t>
            </w:r>
          </w:p>
        </w:tc>
        <w:tc>
          <w:tcPr>
            <w:tcW w:w="5040" w:type="dxa"/>
            <w:vAlign w:val="center"/>
          </w:tcPr>
          <w:p w14:paraId="1EFF6397" w14:textId="77777777" w:rsidR="00D3502A" w:rsidRDefault="004410E4">
            <w:r>
              <w:rPr>
                <w:sz w:val="18"/>
              </w:rPr>
              <w:t>0.850; compatible</w:t>
            </w:r>
          </w:p>
        </w:tc>
      </w:tr>
      <w:tr w:rsidR="00D3502A" w14:paraId="5546C33A" w14:textId="77777777">
        <w:trPr>
          <w:jc w:val="center"/>
        </w:trPr>
        <w:tc>
          <w:tcPr>
            <w:tcW w:w="5040" w:type="dxa"/>
            <w:vAlign w:val="center"/>
          </w:tcPr>
          <w:p w14:paraId="75648927" w14:textId="77777777" w:rsidR="00D3502A" w:rsidRDefault="004410E4">
            <w:r>
              <w:rPr>
                <w:sz w:val="18"/>
              </w:rPr>
              <w:t>CreateOrder → CancelCart compatibility</w:t>
            </w:r>
          </w:p>
        </w:tc>
        <w:tc>
          <w:tcPr>
            <w:tcW w:w="5040" w:type="dxa"/>
            <w:vAlign w:val="center"/>
          </w:tcPr>
          <w:p w14:paraId="2CEE83E5" w14:textId="77777777" w:rsidR="00D3502A" w:rsidRDefault="004410E4">
            <w:r>
              <w:rPr>
                <w:sz w:val="18"/>
              </w:rPr>
              <w:t>0.000; incompatible</w:t>
            </w:r>
          </w:p>
        </w:tc>
      </w:tr>
      <w:tr w:rsidR="00D3502A" w14:paraId="49824900" w14:textId="77777777">
        <w:trPr>
          <w:jc w:val="center"/>
        </w:trPr>
        <w:tc>
          <w:tcPr>
            <w:tcW w:w="5040" w:type="dxa"/>
            <w:vAlign w:val="center"/>
          </w:tcPr>
          <w:p w14:paraId="16BC7C83" w14:textId="77777777" w:rsidR="00D3502A" w:rsidRDefault="004410E4">
            <w:r>
              <w:rPr>
                <w:sz w:val="18"/>
              </w:rPr>
              <w:t>CreateOrder cosine vs MakePayment / CancelCart</w:t>
            </w:r>
          </w:p>
        </w:tc>
        <w:tc>
          <w:tcPr>
            <w:tcW w:w="5040" w:type="dxa"/>
            <w:vAlign w:val="center"/>
          </w:tcPr>
          <w:p w14:paraId="58016B68" w14:textId="77777777" w:rsidR="00D3502A" w:rsidRDefault="004410E4">
            <w:r>
              <w:rPr>
                <w:sz w:val="18"/>
              </w:rPr>
              <w:t>0.169 / 0.144</w:t>
            </w:r>
          </w:p>
        </w:tc>
      </w:tr>
      <w:tr w:rsidR="00D3502A" w14:paraId="5CD67D7F" w14:textId="77777777">
        <w:trPr>
          <w:jc w:val="center"/>
        </w:trPr>
        <w:tc>
          <w:tcPr>
            <w:tcW w:w="5040" w:type="dxa"/>
            <w:vAlign w:val="center"/>
          </w:tcPr>
          <w:p w14:paraId="26376523" w14:textId="77777777" w:rsidR="00D3502A" w:rsidRDefault="004410E4">
            <w:r>
              <w:rPr>
                <w:sz w:val="18"/>
              </w:rPr>
              <w:t>CompletePurchase chain</w:t>
            </w:r>
          </w:p>
        </w:tc>
        <w:tc>
          <w:tcPr>
            <w:tcW w:w="5040" w:type="dxa"/>
            <w:vAlign w:val="center"/>
          </w:tcPr>
          <w:p w14:paraId="362FA4EA" w14:textId="77777777" w:rsidR="00D3502A" w:rsidRDefault="004410E4">
            <w:r>
              <w:rPr>
                <w:sz w:val="18"/>
              </w:rPr>
              <w:t>VALID</w:t>
            </w:r>
          </w:p>
        </w:tc>
      </w:tr>
      <w:tr w:rsidR="00D3502A" w14:paraId="36F49A31" w14:textId="77777777">
        <w:trPr>
          <w:jc w:val="center"/>
        </w:trPr>
        <w:tc>
          <w:tcPr>
            <w:tcW w:w="5040" w:type="dxa"/>
            <w:vAlign w:val="center"/>
          </w:tcPr>
          <w:p w14:paraId="2B995ED5" w14:textId="77777777" w:rsidR="00D3502A" w:rsidRDefault="004410E4">
            <w:r>
              <w:rPr>
                <w:sz w:val="18"/>
              </w:rPr>
              <w:t>Composite similarity vs CreateOrder / MakePayment / SendNotification</w:t>
            </w:r>
          </w:p>
        </w:tc>
        <w:tc>
          <w:tcPr>
            <w:tcW w:w="5040" w:type="dxa"/>
            <w:vAlign w:val="center"/>
          </w:tcPr>
          <w:p w14:paraId="35D7E839" w14:textId="77777777" w:rsidR="00D3502A" w:rsidRDefault="004410E4">
            <w:r>
              <w:rPr>
                <w:sz w:val="18"/>
              </w:rPr>
              <w:t>0.643 / 0.546 / 0.340</w:t>
            </w:r>
          </w:p>
        </w:tc>
      </w:tr>
      <w:tr w:rsidR="00D3502A" w14:paraId="2F1D38A8" w14:textId="77777777">
        <w:trPr>
          <w:jc w:val="center"/>
        </w:trPr>
        <w:tc>
          <w:tcPr>
            <w:tcW w:w="5040" w:type="dxa"/>
            <w:vAlign w:val="center"/>
          </w:tcPr>
          <w:p w14:paraId="60CC0837" w14:textId="77777777" w:rsidR="00D3502A" w:rsidRDefault="004410E4">
            <w:r>
              <w:rPr>
                <w:sz w:val="18"/>
              </w:rPr>
              <w:t>Composite goal relevance</w:t>
            </w:r>
          </w:p>
        </w:tc>
        <w:tc>
          <w:tcPr>
            <w:tcW w:w="5040" w:type="dxa"/>
            <w:vAlign w:val="center"/>
          </w:tcPr>
          <w:p w14:paraId="0E640B96" w14:textId="77777777" w:rsidR="00D3502A" w:rsidRDefault="004410E4">
            <w:r>
              <w:rPr>
                <w:sz w:val="18"/>
              </w:rPr>
              <w:t>1.000</w:t>
            </w:r>
          </w:p>
        </w:tc>
      </w:tr>
      <w:tr w:rsidR="00D3502A" w14:paraId="3FC9BC13" w14:textId="77777777">
        <w:trPr>
          <w:jc w:val="center"/>
        </w:trPr>
        <w:tc>
          <w:tcPr>
            <w:tcW w:w="5040" w:type="dxa"/>
            <w:vAlign w:val="center"/>
          </w:tcPr>
          <w:p w14:paraId="0F136398" w14:textId="77777777" w:rsidR="00D3502A" w:rsidRDefault="004410E4">
            <w:r>
              <w:rPr>
                <w:sz w:val="18"/>
              </w:rPr>
              <w:t>API vs DB CreateOrder cosine</w:t>
            </w:r>
          </w:p>
        </w:tc>
        <w:tc>
          <w:tcPr>
            <w:tcW w:w="5040" w:type="dxa"/>
            <w:vAlign w:val="center"/>
          </w:tcPr>
          <w:p w14:paraId="75E07A88" w14:textId="77777777" w:rsidR="00D3502A" w:rsidRDefault="004410E4">
            <w:r>
              <w:rPr>
                <w:sz w:val="18"/>
              </w:rPr>
              <w:t>0.831</w:t>
            </w:r>
          </w:p>
        </w:tc>
      </w:tr>
      <w:tr w:rsidR="00D3502A" w14:paraId="77B3048E" w14:textId="77777777">
        <w:trPr>
          <w:jc w:val="center"/>
        </w:trPr>
        <w:tc>
          <w:tcPr>
            <w:tcW w:w="5040" w:type="dxa"/>
            <w:vAlign w:val="center"/>
          </w:tcPr>
          <w:p w14:paraId="39410ABB" w14:textId="77777777" w:rsidR="00D3502A" w:rsidRDefault="004410E4">
            <w:r>
              <w:rPr>
                <w:sz w:val="18"/>
              </w:rPr>
              <w:t>API vs GUI CreateOrder cosine</w:t>
            </w:r>
          </w:p>
        </w:tc>
        <w:tc>
          <w:tcPr>
            <w:tcW w:w="5040" w:type="dxa"/>
            <w:vAlign w:val="center"/>
          </w:tcPr>
          <w:p w14:paraId="0F457C02" w14:textId="77777777" w:rsidR="00D3502A" w:rsidRDefault="004410E4">
            <w:r>
              <w:rPr>
                <w:sz w:val="18"/>
              </w:rPr>
              <w:t>0.817</w:t>
            </w:r>
          </w:p>
        </w:tc>
      </w:tr>
      <w:tr w:rsidR="00D3502A" w14:paraId="3CA923EF" w14:textId="77777777">
        <w:trPr>
          <w:jc w:val="center"/>
        </w:trPr>
        <w:tc>
          <w:tcPr>
            <w:tcW w:w="5040" w:type="dxa"/>
            <w:vAlign w:val="center"/>
          </w:tcPr>
          <w:p w14:paraId="29C2C5C1" w14:textId="77777777" w:rsidR="00D3502A" w:rsidRDefault="004410E4">
            <w:r>
              <w:rPr>
                <w:sz w:val="18"/>
              </w:rPr>
              <w:t>CreateOrder / UpdateProfile goal relevance</w:t>
            </w:r>
          </w:p>
        </w:tc>
        <w:tc>
          <w:tcPr>
            <w:tcW w:w="5040" w:type="dxa"/>
            <w:vAlign w:val="center"/>
          </w:tcPr>
          <w:p w14:paraId="302954DB" w14:textId="77777777" w:rsidR="00D3502A" w:rsidRDefault="004410E4">
            <w:r>
              <w:rPr>
                <w:sz w:val="18"/>
              </w:rPr>
              <w:t>0.333 / 0.000</w:t>
            </w:r>
          </w:p>
        </w:tc>
      </w:tr>
      <w:tr w:rsidR="00D3502A" w14:paraId="12F8E992" w14:textId="77777777">
        <w:trPr>
          <w:jc w:val="center"/>
        </w:trPr>
        <w:tc>
          <w:tcPr>
            <w:tcW w:w="5040" w:type="dxa"/>
            <w:vAlign w:val="center"/>
          </w:tcPr>
          <w:p w14:paraId="3FD46184" w14:textId="77777777" w:rsidR="00D3502A" w:rsidRDefault="004410E4">
            <w:r>
              <w:rPr>
                <w:sz w:val="18"/>
              </w:rPr>
              <w:t>CreateOrder vs UpdateProfile cosine</w:t>
            </w:r>
          </w:p>
        </w:tc>
        <w:tc>
          <w:tcPr>
            <w:tcW w:w="5040" w:type="dxa"/>
            <w:vAlign w:val="center"/>
          </w:tcPr>
          <w:p w14:paraId="51ADC8B0" w14:textId="77777777" w:rsidR="00D3502A" w:rsidRDefault="004410E4">
            <w:r>
              <w:rPr>
                <w:sz w:val="18"/>
              </w:rPr>
              <w:t>0.163</w:t>
            </w:r>
          </w:p>
        </w:tc>
      </w:tr>
      <w:tr w:rsidR="00D3502A" w14:paraId="6772B1A6" w14:textId="77777777">
        <w:trPr>
          <w:jc w:val="center"/>
        </w:trPr>
        <w:tc>
          <w:tcPr>
            <w:tcW w:w="5040" w:type="dxa"/>
            <w:vAlign w:val="center"/>
          </w:tcPr>
          <w:p w14:paraId="72255383" w14:textId="77777777" w:rsidR="00D3502A" w:rsidRDefault="004410E4">
            <w:r>
              <w:rPr>
                <w:sz w:val="18"/>
              </w:rPr>
              <w:t>Initial state vs goal cosine</w:t>
            </w:r>
          </w:p>
        </w:tc>
        <w:tc>
          <w:tcPr>
            <w:tcW w:w="5040" w:type="dxa"/>
            <w:vAlign w:val="center"/>
          </w:tcPr>
          <w:p w14:paraId="1D01C1C0" w14:textId="77777777" w:rsidR="00D3502A" w:rsidRDefault="004410E4">
            <w:r>
              <w:rPr>
                <w:sz w:val="18"/>
              </w:rPr>
              <w:t>0.185</w:t>
            </w:r>
          </w:p>
        </w:tc>
      </w:tr>
      <w:tr w:rsidR="00D3502A" w14:paraId="21B024F3" w14:textId="77777777">
        <w:trPr>
          <w:jc w:val="center"/>
        </w:trPr>
        <w:tc>
          <w:tcPr>
            <w:tcW w:w="5040" w:type="dxa"/>
            <w:vAlign w:val="center"/>
          </w:tcPr>
          <w:p w14:paraId="36161169" w14:textId="77777777" w:rsidR="00D3502A" w:rsidRDefault="004410E4">
            <w:r>
              <w:rPr>
                <w:sz w:val="18"/>
              </w:rPr>
              <w:t>Repeated CreateOrder encoding</w:t>
            </w:r>
          </w:p>
        </w:tc>
        <w:tc>
          <w:tcPr>
            <w:tcW w:w="5040" w:type="dxa"/>
            <w:vAlign w:val="center"/>
          </w:tcPr>
          <w:p w14:paraId="07A6B666" w14:textId="77777777" w:rsidR="00D3502A" w:rsidRDefault="004410E4">
            <w:r>
              <w:rPr>
                <w:sz w:val="18"/>
              </w:rPr>
              <w:t>1.000</w:t>
            </w:r>
          </w:p>
        </w:tc>
      </w:tr>
    </w:tbl>
    <w:p w14:paraId="7D863319" w14:textId="77777777" w:rsidR="00D3502A" w:rsidRDefault="00D3502A"/>
    <w:p w14:paraId="20634876" w14:textId="77777777" w:rsidR="00D3502A" w:rsidRDefault="004410E4">
      <w:pPr>
        <w:pStyle w:val="Heading1"/>
      </w:pPr>
      <w:r>
        <w:t>10. Analysis</w:t>
      </w:r>
    </w:p>
    <w:p w14:paraId="1BDF8C72" w14:textId="77777777" w:rsidR="00D3502A" w:rsidRDefault="004410E4">
      <w:pPr>
        <w:pStyle w:val="ListBullet"/>
      </w:pPr>
      <w:r>
        <w:t>CreateOrder satisfies MakePayment's required state condition, while CancelCart requires the opposite state, so the directional compatibility test separates them.</w:t>
      </w:r>
    </w:p>
    <w:p w14:paraId="6A1BA004" w14:textId="77777777" w:rsidR="00D3502A" w:rsidRDefault="004410E4">
      <w:pPr>
        <w:pStyle w:val="ListBullet"/>
      </w:pPr>
      <w:r>
        <w:t>Cosine similarity is deliberately not used as the sole composability criterion.</w:t>
      </w:r>
    </w:p>
    <w:p w14:paraId="40D6B8E8" w14:textId="77777777" w:rsidR="00D3502A" w:rsidRDefault="004410E4">
      <w:pPr>
        <w:pStyle w:val="ListBullet"/>
      </w:pPr>
      <w:r>
        <w:t>Alternative implementations remain close because their functional fields match, but type, mechanism and operational attributes keep them distinct.</w:t>
      </w:r>
    </w:p>
    <w:p w14:paraId="08807500" w14:textId="77777777" w:rsidR="00D3502A" w:rsidRDefault="004410E4">
      <w:pPr>
        <w:pStyle w:val="ListBullet"/>
      </w:pPr>
      <w:r>
        <w:t>The three-step composite reaches full goal relevance because its effects cover all three goal conditions.</w:t>
      </w:r>
    </w:p>
    <w:p w14:paraId="431536E0" w14:textId="77777777" w:rsidR="00D3502A" w:rsidRDefault="004410E4">
      <w:pPr>
        <w:pStyle w:val="ListBullet"/>
      </w:pPr>
      <w:r>
        <w:t>Operational properties are represented explicitly and therefore affect vector values without overwhelming the functional structure.</w:t>
      </w:r>
    </w:p>
    <w:p w14:paraId="1FE6F9DB" w14:textId="77777777" w:rsidR="00D3502A" w:rsidRDefault="004410E4">
      <w:pPr>
        <w:pStyle w:val="ListBullet"/>
      </w:pPr>
      <w:r>
        <w:t>The deterministic hashing scheme makes repeated encoding exactly reproducible.</w:t>
      </w:r>
    </w:p>
    <w:p w14:paraId="7B0C0F29" w14:textId="77777777" w:rsidR="00D3502A" w:rsidRDefault="004410E4">
      <w:pPr>
        <w:pStyle w:val="Heading1"/>
      </w:pPr>
      <w:r>
        <w:t>11. Limitations</w:t>
      </w:r>
    </w:p>
    <w:p w14:paraId="18AE9879" w14:textId="77777777" w:rsidR="00D3502A" w:rsidRDefault="004410E4">
      <w:pPr>
        <w:pStyle w:val="ListBullet"/>
      </w:pPr>
      <w:r>
        <w:t>Hand-designed weights are not learned from a large dataset.</w:t>
      </w:r>
    </w:p>
    <w:p w14:paraId="7D1C281B" w14:textId="77777777" w:rsidR="00D3502A" w:rsidRDefault="004410E4">
      <w:pPr>
        <w:pStyle w:val="ListBullet"/>
      </w:pPr>
      <w:r>
        <w:t>Feature hashing can cause collisions.</w:t>
      </w:r>
    </w:p>
    <w:p w14:paraId="3C3B7EF5" w14:textId="77777777" w:rsidR="00D3502A" w:rsidRDefault="004410E4">
      <w:pPr>
        <w:pStyle w:val="ListBullet"/>
      </w:pPr>
      <w:r>
        <w:lastRenderedPageBreak/>
        <w:t>Compatibility is a symbolic companion measure rather than a purely geometric property.</w:t>
      </w:r>
    </w:p>
    <w:p w14:paraId="51824D40" w14:textId="77777777" w:rsidR="00D3502A" w:rsidRDefault="004410E4">
      <w:pPr>
        <w:pStyle w:val="ListBullet"/>
      </w:pPr>
      <w:r>
        <w:t>The dataset is small and formal, so results do not establish large-scale real-world performance.</w:t>
      </w:r>
    </w:p>
    <w:p w14:paraId="0EDA7EB3" w14:textId="77777777" w:rsidR="00D3502A" w:rsidRDefault="004410E4">
      <w:pPr>
        <w:pStyle w:val="ListBullet"/>
      </w:pPr>
      <w:r>
        <w:t>The order-aware composite representation is a simple prototype rather than a learned sequence model.</w:t>
      </w:r>
    </w:p>
    <w:p w14:paraId="6F3B4276" w14:textId="77777777" w:rsidR="00D3502A" w:rsidRDefault="004410E4">
      <w:pPr>
        <w:pStyle w:val="Heading1"/>
      </w:pPr>
      <w:r>
        <w:t>12. Conclusion</w:t>
      </w:r>
    </w:p>
    <w:p w14:paraId="4F7193DD" w14:textId="77777777" w:rsidR="00D3502A" w:rsidRDefault="004410E4">
      <w:r>
        <w:t>The SCE prototype provides a compact vector representation for states, goals and capabilities while retaining explicit functional compatibility checks. The experiments demonstrate compatibility discrimination, capability composition, alternative-implementation similarity, goal relevance, operational influence and deterministic encoding. This addresses the assignment's central research question at prototype scale.</w:t>
      </w:r>
    </w:p>
    <w:p w14:paraId="53426DCF" w14:textId="77777777" w:rsidR="00D3502A" w:rsidRDefault="004410E4">
      <w:r>
        <w:t>The brief's final objective is to investigate whether atomic capabilities can be embedded and composed into meaningful representations of complex capabilities. The implementation demonstrates that concept without changing the planning/replanning algorithms that are outside scope. fileciteturn0file0L408-L431</w:t>
      </w:r>
    </w:p>
    <w:p w14:paraId="367B86F3" w14:textId="77777777" w:rsidR="00D3502A" w:rsidRDefault="004410E4">
      <w:pPr>
        <w:pStyle w:val="Heading1"/>
      </w:pPr>
      <w:r>
        <w:t>Appendix – Build and Run</w:t>
      </w:r>
    </w:p>
    <w:p w14:paraId="3BF4EF92" w14:textId="77777777" w:rsidR="00D3502A" w:rsidRDefault="004410E4">
      <w:r>
        <w:rPr>
          <w:rFonts w:ascii="Consolas" w:hAnsi="Consolas"/>
          <w:sz w:val="16"/>
        </w:rPr>
        <w:t>g++ -std=c++17 -O2 -Wall -Wextra capability_embedding.cpp -o capability_embedding</w:t>
      </w:r>
      <w:r>
        <w:rPr>
          <w:rFonts w:ascii="Consolas" w:hAnsi="Consolas"/>
          <w:sz w:val="16"/>
        </w:rPr>
        <w:br/>
        <w:t>./capability_embedding</w:t>
      </w:r>
    </w:p>
    <w:sectPr w:rsidR="00D3502A"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1EB24" w14:textId="77777777" w:rsidR="004410E4" w:rsidRDefault="004410E4">
      <w:pPr>
        <w:spacing w:after="0" w:line="240" w:lineRule="auto"/>
      </w:pPr>
      <w:r>
        <w:separator/>
      </w:r>
    </w:p>
  </w:endnote>
  <w:endnote w:type="continuationSeparator" w:id="0">
    <w:p w14:paraId="3A2C91A4" w14:textId="77777777" w:rsidR="004410E4" w:rsidRDefault="004410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F778B" w14:textId="77777777" w:rsidR="00D3502A" w:rsidRDefault="004410E4">
    <w:pPr>
      <w:pStyle w:val="Footer"/>
      <w:jc w:val="center"/>
    </w:pPr>
    <w:r>
      <w:t>PCCST503 – Assignment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71DC7" w14:textId="77777777" w:rsidR="004410E4" w:rsidRDefault="004410E4">
      <w:pPr>
        <w:spacing w:after="0" w:line="240" w:lineRule="auto"/>
      </w:pPr>
      <w:r>
        <w:separator/>
      </w:r>
    </w:p>
  </w:footnote>
  <w:footnote w:type="continuationSeparator" w:id="0">
    <w:p w14:paraId="375C8746" w14:textId="77777777" w:rsidR="004410E4" w:rsidRDefault="004410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4184298">
    <w:abstractNumId w:val="8"/>
  </w:num>
  <w:num w:numId="2" w16cid:durableId="1493061619">
    <w:abstractNumId w:val="6"/>
  </w:num>
  <w:num w:numId="3" w16cid:durableId="213737872">
    <w:abstractNumId w:val="5"/>
  </w:num>
  <w:num w:numId="4" w16cid:durableId="188422090">
    <w:abstractNumId w:val="4"/>
  </w:num>
  <w:num w:numId="5" w16cid:durableId="620577910">
    <w:abstractNumId w:val="7"/>
  </w:num>
  <w:num w:numId="6" w16cid:durableId="1350252967">
    <w:abstractNumId w:val="3"/>
  </w:num>
  <w:num w:numId="7" w16cid:durableId="1284724268">
    <w:abstractNumId w:val="2"/>
  </w:num>
  <w:num w:numId="8" w16cid:durableId="854152349">
    <w:abstractNumId w:val="1"/>
  </w:num>
  <w:num w:numId="9" w16cid:durableId="1593659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10E4"/>
    <w:rsid w:val="0048129C"/>
    <w:rsid w:val="00A92012"/>
    <w:rsid w:val="00AA1D8D"/>
    <w:rsid w:val="00AF4D2A"/>
    <w:rsid w:val="00B47730"/>
    <w:rsid w:val="00CB0664"/>
    <w:rsid w:val="00CB1C0B"/>
    <w:rsid w:val="00D350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115C5BF-FF73-47EF-8B4C-D878FBEE4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1222</Words>
  <Characters>6967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Binoy</cp:lastModifiedBy>
  <cp:revision>4</cp:revision>
  <dcterms:created xsi:type="dcterms:W3CDTF">2013-12-23T23:15:00Z</dcterms:created>
  <dcterms:modified xsi:type="dcterms:W3CDTF">2026-10-04T12:32:00Z</dcterms:modified>
  <cp:category/>
</cp:coreProperties>
</file>