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8"/>
          <w:szCs w:val="28"/>
        </w:rPr>
        <w:t xml:space="preserve">PCCST503 – MACHINE LEARNING</w:t>
      </w:r>
    </w:p>
    <w:p>
      <w:pPr>
        <w:spacing w:after="50"/>
        <w:jc w:val="center"/>
      </w:pPr>
      <w:r>
        <w:rPr>
          <w:b/>
          <w:bCs/>
          <w:sz w:val="24"/>
          <w:szCs w:val="24"/>
        </w:rPr>
        <w:t xml:space="preserve">ASSIGNMENT 2</w:t>
      </w:r>
    </w:p>
    <w:p>
      <w:pPr>
        <w:spacing w:after="300"/>
        <w:jc w:val="center"/>
      </w:pPr>
      <w:r>
        <w:rPr>
          <w:b/>
          <w:bCs/>
          <w:sz w:val="24"/>
          <w:szCs w:val="24"/>
        </w:rPr>
        <w:t xml:space="preserve">DELIVERABLE 1 — FORMAL EMBEDDING DESIGN</w:t>
      </w:r>
    </w:p>
    <w:p>
      <w:pPr>
        <w:spacing w:after="300"/>
        <w:jc w:val="center"/>
      </w:pPr>
      <w:r>
        <w:rPr>
          <w:i/>
          <w:iCs/>
        </w:rPr>
        <w:t xml:space="preserve">A Vector Embedding for Capability Composition</w:t>
      </w:r>
    </w:p>
    <w:p>
      <w:pPr>
        <w:pStyle w:val="Heading1"/>
        <w:spacing w:after="140" w:before="280"/>
      </w:pPr>
      <w:r>
        <w:rPr>
          <w:b/>
          <w:bCs/>
        </w:rPr>
        <w:t xml:space="preserve">1. Formal Entities</w:t>
      </w:r>
    </w:p>
    <w:p>
      <w:pPr>
        <w:spacing w:after="110"/>
      </w:pPr>
      <w:r>
        <w:t xml:space="preserve">The application model and capability model follow the assignment's formal definitions directly.</w:t>
      </w:r>
    </w:p>
    <w:p>
      <w:pPr>
        <w:spacing w:after="140" w:before="60"/>
        <w:jc w:val="center"/>
      </w:pPr>
      <w:r>
        <w:rPr>
          <w:rFonts w:ascii="Cambria Math" w:cs="Cambria Math" w:eastAsia="Cambria Math" w:hAnsi="Cambria Math"/>
          <w:i/>
          <w:iCs/>
          <w:sz w:val="24"/>
          <w:szCs w:val="24"/>
        </w:rPr>
        <w:t xml:space="preserve">A = (S, C, S_I, G, R, K)</w:t>
      </w:r>
    </w:p>
    <w:p>
      <w:pPr>
        <w:spacing w:after="140" w:before="60"/>
        <w:jc w:val="center"/>
      </w:pPr>
      <w:r>
        <w:rPr>
          <w:rFonts w:ascii="Cambria Math" w:cs="Cambria Math" w:eastAsia="Cambria Math" w:hAnsi="Cambria Math"/>
          <w:i/>
          <w:iCs/>
          <w:sz w:val="24"/>
          <w:szCs w:val="24"/>
        </w:rPr>
        <w:t xml:space="preserve">C_i = (T_i, I_i, O_i, P_i, E_i, K_i, R_i, Q_i, Rel_i, A_i, M_i)</w:t>
      </w:r>
    </w:p>
    <w:p>
      <w:pPr>
        <w:spacing w:after="110"/>
      </w:pPr>
      <w:r>
        <w:t xml:space="preserve">A state is a finite set of (variable, value) pairs. Preconditions, effects and goal conditions are represented as ground atoms: equality atoms "x=v" or comparison atoms "x&gt;v", "x&lt;v", etc. States, preconditions, effects and goals all draw from the same ground-atom space:</w:t>
      </w:r>
    </w:p>
    <w:p>
      <w:pPr>
        <w:spacing w:after="140" w:before="60"/>
        <w:jc w:val="center"/>
      </w:pPr>
      <w:r>
        <w:rPr>
          <w:rFonts w:ascii="Cambria Math" w:cs="Cambria Math" w:eastAsia="Cambria Math" w:hAnsi="Cambria Math"/>
          <w:i/>
          <w:iCs/>
          <w:sz w:val="24"/>
          <w:szCs w:val="24"/>
        </w:rPr>
        <w:t xml:space="preserve">Atom(x,=,v) = "x=v"          Atom(x,op,v) = "x" + op + "v",  op ∈ {&gt;,&lt;,≥,≤,≠}</w:t>
      </w:r>
    </w:p>
    <w:p>
      <w:pPr>
        <w:spacing w:after="110"/>
      </w:pPr>
      <w:r>
        <w:t xml:space="preserve">Using a single shared atom space for states, preconditions, effects and goals is the key design decision that makes precondition–effect compatibility a direct set-overlap test instead of a learned approximation (Section 3).</w:t>
      </w:r>
    </w:p>
    <w:p>
      <w:pPr>
        <w:pStyle w:val="Heading1"/>
        <w:spacing w:after="140" w:before="280"/>
      </w:pPr>
      <w:r>
        <w:rPr>
          <w:b/>
          <w:bCs/>
        </w:rPr>
        <w:t xml:space="preserve">2. Vocabulary Construction</w:t>
      </w:r>
    </w:p>
    <w:p>
      <w:pPr>
        <w:spacing w:after="110"/>
      </w:pPr>
      <w:r>
        <w:t xml:space="preserve">Given a capability set C = {C_1, ..., C_n} (plus optionally example states/goals), four vocabularies are built once, deterministically, from the data actually present:</w:t>
      </w:r>
    </w:p>
    <w:p>
      <w:pPr>
        <w:spacing w:after="140" w:before="60"/>
        <w:jc w:val="center"/>
      </w:pPr>
      <w:r>
        <w:rPr>
          <w:rFonts w:ascii="Cambria Math" w:cs="Cambria Math" w:eastAsia="Cambria Math" w:hAnsi="Cambria Math"/>
          <w:i/>
          <w:iCs/>
          <w:sz w:val="24"/>
          <w:szCs w:val="24"/>
        </w:rPr>
        <w:t xml:space="preserve">V_pred = ⋃_i (P_i ∪ atoms(E_i)) ∪ atoms(S) ∪ atoms(G)</w:t>
      </w:r>
    </w:p>
    <w:p>
      <w:pPr>
        <w:spacing w:after="140" w:before="60"/>
        <w:jc w:val="center"/>
      </w:pPr>
      <w:r>
        <w:rPr>
          <w:rFonts w:ascii="Cambria Math" w:cs="Cambria Math" w:eastAsia="Cambria Math" w:hAnsi="Cambria Math"/>
          <w:i/>
          <w:iCs/>
          <w:sz w:val="24"/>
          <w:szCs w:val="24"/>
        </w:rPr>
        <w:t xml:space="preserve">V_io = ⋃_i { key(spec) : spec ∈ I_i ∪ O_i },   key(spec) = name(spec) + ":" + type(spec)</w:t>
      </w:r>
    </w:p>
    <w:p>
      <w:pPr>
        <w:spacing w:after="140" w:before="60"/>
        <w:jc w:val="center"/>
      </w:pPr>
      <w:r>
        <w:rPr>
          <w:rFonts w:ascii="Cambria Math" w:cs="Cambria Math" w:eastAsia="Cambria Math" w:hAnsi="Cambria Math"/>
          <w:i/>
          <w:iCs/>
          <w:sz w:val="24"/>
          <w:szCs w:val="24"/>
        </w:rPr>
        <w:t xml:space="preserve">V_res = ⋃_i R_i</w:t>
      </w:r>
    </w:p>
    <w:p>
      <w:pPr>
        <w:spacing w:after="110"/>
      </w:pPr>
      <w:r>
        <w:t xml:space="preserve">Each vocabulary is sorted to fix a canonical index order, so encode() is a pure function of the capability set: the same data always produces the same vector space, and re-running the pipeline is reproducible.</w:t>
      </w:r>
    </w:p>
    <w:p>
      <w:pPr>
        <w:pStyle w:val="Heading1"/>
        <w:spacing w:after="140" w:before="280"/>
      </w:pPr>
      <w:r>
        <w:rPr>
          <w:b/>
          <w:bCs/>
        </w:rPr>
        <w:t xml:space="preserve">3. Embedding Function φ</w:t>
      </w:r>
    </w:p>
    <w:p>
      <w:pPr>
        <w:spacing w:after="110"/>
      </w:pPr>
      <w:r>
        <w:t xml:space="preserve">A capability's vector is the concatenation of nine independently-meaningful blocks. Each block is listed with its dimensionality and construction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2F5496" w:val="clear"/>
          </w:tcPr>
          <w:p>
            <w:r>
              <w:rPr>
                <w:b/>
                <w:bCs/>
                <w:color w:val="FFFFFF"/>
                <w:sz w:val="19"/>
                <w:szCs w:val="19"/>
              </w:rPr>
              <w:t xml:space="preserve">Block</w:t>
            </w:r>
          </w:p>
        </w:tc>
        <w:tc>
          <w:tcPr>
            <w:tcW w:type="dxa" w:w="6800"/>
            <w:shd w:fill="2F5496" w:val="clear"/>
          </w:tcPr>
          <w:p>
            <w:r>
              <w:rPr>
                <w:b/>
                <w:bCs/>
                <w:color w:val="FFFFFF"/>
                <w:sz w:val="19"/>
                <w:szCs w:val="19"/>
              </w:rPr>
              <w:t xml:space="preserve">Dim / Construction</w:t>
            </w:r>
          </w:p>
        </w:tc>
      </w:tr>
      <w:tr>
        <w:tc>
          <w:tcPr>
            <w:tcW w:type="dxa" w:w="2200"/>
          </w:tcPr>
          <w:p>
            <w:r>
              <w:rPr>
                <w:rFonts w:ascii="Consolas" w:cs="Consolas" w:eastAsia="Consolas" w:hAnsi="Consolas"/>
                <w:sz w:val="19"/>
                <w:szCs w:val="19"/>
              </w:rPr>
              <w:t xml:space="preserve">type</w:t>
            </w:r>
          </w:p>
        </w:tc>
        <w:tc>
          <w:tcPr>
            <w:tcW w:type="dxa" w:w="6800"/>
          </w:tcPr>
          <w:p>
            <w:r>
              <w:rPr>
                <w:sz w:val="19"/>
                <w:szCs w:val="19"/>
              </w:rPr>
              <w:t xml:space="preserve">dim=10.  One-hot over {API, DATABASE, GUI, EVENT, FUNCTION, FILE, COMPUTATION, MESSAGE, SERVICE, COMPOSITE}.</w:t>
            </w:r>
          </w:p>
        </w:tc>
      </w:tr>
      <w:tr>
        <w:tc>
          <w:tcPr>
            <w:tcW w:type="dxa" w:w="2200"/>
          </w:tcPr>
          <w:p>
            <w:r>
              <w:rPr>
                <w:rFonts w:ascii="Consolas" w:cs="Consolas" w:eastAsia="Consolas" w:hAnsi="Consolas"/>
                <w:sz w:val="19"/>
                <w:szCs w:val="19"/>
              </w:rPr>
              <w:t xml:space="preserve">mechanism</w:t>
            </w:r>
          </w:p>
        </w:tc>
        <w:tc>
          <w:tcPr>
            <w:tcW w:type="dxa" w:w="6800"/>
          </w:tcPr>
          <w:p>
            <w:r>
              <w:rPr>
                <w:sz w:val="19"/>
                <w:szCs w:val="19"/>
              </w:rPr>
              <w:t xml:space="preserve">dim=16.  Feature-hashed bag of execution-mechanism key=value tokens (e.g. method=POST).</w:t>
            </w:r>
          </w:p>
        </w:tc>
      </w:tr>
      <w:tr>
        <w:tc>
          <w:tcPr>
            <w:tcW w:type="dxa" w:w="2200"/>
          </w:tcPr>
          <w:p>
            <w:r>
              <w:rPr>
                <w:rFonts w:ascii="Consolas" w:cs="Consolas" w:eastAsia="Consolas" w:hAnsi="Consolas"/>
                <w:sz w:val="19"/>
                <w:szCs w:val="19"/>
              </w:rPr>
              <w:t xml:space="preserve">precondition</w:t>
            </w:r>
          </w:p>
        </w:tc>
        <w:tc>
          <w:tcPr>
            <w:tcW w:type="dxa" w:w="6800"/>
          </w:tcPr>
          <w:p>
            <w:r>
              <w:rPr>
                <w:sz w:val="19"/>
                <w:szCs w:val="19"/>
              </w:rPr>
              <w:t xml:space="preserve">dim=|V_pred|.  Multi-hot over the shared ground-atom vocabulary V_pred.</w:t>
            </w:r>
          </w:p>
        </w:tc>
      </w:tr>
      <w:tr>
        <w:tc>
          <w:tcPr>
            <w:tcW w:type="dxa" w:w="2200"/>
          </w:tcPr>
          <w:p>
            <w:r>
              <w:rPr>
                <w:rFonts w:ascii="Consolas" w:cs="Consolas" w:eastAsia="Consolas" w:hAnsi="Consolas"/>
                <w:sz w:val="19"/>
                <w:szCs w:val="19"/>
              </w:rPr>
              <w:t xml:space="preserve">effect</w:t>
            </w:r>
          </w:p>
        </w:tc>
        <w:tc>
          <w:tcPr>
            <w:tcW w:type="dxa" w:w="6800"/>
          </w:tcPr>
          <w:p>
            <w:r>
              <w:rPr>
                <w:sz w:val="19"/>
                <w:szCs w:val="19"/>
              </w:rPr>
              <w:t xml:space="preserve">dim=|V_pred|.  Multi-hot over the same vocabulary V_pred as precondition.</w:t>
            </w:r>
          </w:p>
        </w:tc>
      </w:tr>
      <w:tr>
        <w:tc>
          <w:tcPr>
            <w:tcW w:type="dxa" w:w="2200"/>
          </w:tcPr>
          <w:p>
            <w:r>
              <w:rPr>
                <w:rFonts w:ascii="Consolas" w:cs="Consolas" w:eastAsia="Consolas" w:hAnsi="Consolas"/>
                <w:sz w:val="19"/>
                <w:szCs w:val="19"/>
              </w:rPr>
              <w:t xml:space="preserve">input</w:t>
            </w:r>
          </w:p>
        </w:tc>
        <w:tc>
          <w:tcPr>
            <w:tcW w:type="dxa" w:w="6800"/>
          </w:tcPr>
          <w:p>
            <w:r>
              <w:rPr>
                <w:sz w:val="19"/>
                <w:szCs w:val="19"/>
              </w:rPr>
              <w:t xml:space="preserve">dim=|V_io|.  Multi-hot over the shared (name:type) vocabulary V_io.</w:t>
            </w:r>
          </w:p>
        </w:tc>
      </w:tr>
      <w:tr>
        <w:tc>
          <w:tcPr>
            <w:tcW w:type="dxa" w:w="2200"/>
          </w:tcPr>
          <w:p>
            <w:r>
              <w:rPr>
                <w:rFonts w:ascii="Consolas" w:cs="Consolas" w:eastAsia="Consolas" w:hAnsi="Consolas"/>
                <w:sz w:val="19"/>
                <w:szCs w:val="19"/>
              </w:rPr>
              <w:t xml:space="preserve">output</w:t>
            </w:r>
          </w:p>
        </w:tc>
        <w:tc>
          <w:tcPr>
            <w:tcW w:type="dxa" w:w="6800"/>
          </w:tcPr>
          <w:p>
            <w:r>
              <w:rPr>
                <w:sz w:val="19"/>
                <w:szCs w:val="19"/>
              </w:rPr>
              <w:t xml:space="preserve">dim=|V_io|.  Multi-hot over the same vocabulary V_io as input.</w:t>
            </w:r>
          </w:p>
        </w:tc>
      </w:tr>
      <w:tr>
        <w:tc>
          <w:tcPr>
            <w:tcW w:type="dxa" w:w="2200"/>
          </w:tcPr>
          <w:p>
            <w:r>
              <w:rPr>
                <w:rFonts w:ascii="Consolas" w:cs="Consolas" w:eastAsia="Consolas" w:hAnsi="Consolas"/>
                <w:sz w:val="19"/>
                <w:szCs w:val="19"/>
              </w:rPr>
              <w:t xml:space="preserve">constraint</w:t>
            </w:r>
          </w:p>
        </w:tc>
        <w:tc>
          <w:tcPr>
            <w:tcW w:type="dxa" w:w="6800"/>
          </w:tcPr>
          <w:p>
            <w:r>
              <w:rPr>
                <w:sz w:val="19"/>
                <w:szCs w:val="19"/>
              </w:rPr>
              <w:t xml:space="preserve">dim=32.  Feature-hashed bag of free-text constraint tokens.</w:t>
            </w:r>
          </w:p>
        </w:tc>
      </w:tr>
      <w:tr>
        <w:tc>
          <w:tcPr>
            <w:tcW w:type="dxa" w:w="2200"/>
          </w:tcPr>
          <w:p>
            <w:r>
              <w:rPr>
                <w:rFonts w:ascii="Consolas" w:cs="Consolas" w:eastAsia="Consolas" w:hAnsi="Consolas"/>
                <w:sz w:val="19"/>
                <w:szCs w:val="19"/>
              </w:rPr>
              <w:t xml:space="preserve">resource</w:t>
            </w:r>
          </w:p>
        </w:tc>
        <w:tc>
          <w:tcPr>
            <w:tcW w:type="dxa" w:w="6800"/>
          </w:tcPr>
          <w:p>
            <w:r>
              <w:rPr>
                <w:sz w:val="19"/>
                <w:szCs w:val="19"/>
              </w:rPr>
              <w:t xml:space="preserve">dim=|V_res|.  Multi-hot over the resource-name vocabulary V_res.</w:t>
            </w:r>
          </w:p>
        </w:tc>
      </w:tr>
      <w:tr>
        <w:tc>
          <w:tcPr>
            <w:tcW w:type="dxa" w:w="2200"/>
          </w:tcPr>
          <w:p>
            <w:r>
              <w:rPr>
                <w:rFonts w:ascii="Consolas" w:cs="Consolas" w:eastAsia="Consolas" w:hAnsi="Consolas"/>
                <w:sz w:val="19"/>
                <w:szCs w:val="19"/>
              </w:rPr>
              <w:t xml:space="preserve">operational</w:t>
            </w:r>
          </w:p>
        </w:tc>
        <w:tc>
          <w:tcPr>
            <w:tcW w:type="dxa" w:w="6800"/>
          </w:tcPr>
          <w:p>
            <w:r>
              <w:rPr>
                <w:sz w:val="19"/>
                <w:szCs w:val="19"/>
              </w:rPr>
              <w:t xml:space="preserve">dim=7.  [time, money, resource, risk, energy, reliability, availability], continuous, normalized.</w:t>
            </w:r>
          </w:p>
        </w:tc>
      </w:tr>
    </w:tbl>
    <w:p>
      <w:pPr>
        <w:spacing w:before="140"/>
      </w:pPr>
      <w:r>
        <w:rPr>
          <w:i/>
          <w:iCs/>
        </w:rPr>
        <w:t xml:space="preserve">φ_C(C_i) = type(C_i) ⊕ mech(C_i) ⊕ pre(C_i) ⊕ eff(C_i) ⊕ in(C_i) ⊕ out(C_i) ⊕ con(C_i) ⊕ res(C_i) ⊕ op(C_i)</w:t>
      </w:r>
    </w:p>
    <w:p>
      <w:pPr>
        <w:spacing w:after="110"/>
      </w:pPr>
      <w:r>
        <w:t xml:space="preserve">where ⊕ denotes vector concatenation. States and goals are embedded into the same precondition/effect ground-atom space:</w:t>
      </w:r>
    </w:p>
    <w:p>
      <w:pPr>
        <w:spacing w:after="140" w:before="60"/>
        <w:jc w:val="center"/>
      </w:pPr>
      <w:r>
        <w:rPr>
          <w:rFonts w:ascii="Cambria Math" w:cs="Cambria Math" w:eastAsia="Cambria Math" w:hAnsi="Cambria Math"/>
          <w:i/>
          <w:iCs/>
          <w:sz w:val="24"/>
          <w:szCs w:val="24"/>
        </w:rPr>
        <w:t xml:space="preserve">φ_S(S) = multihot(atoms(S), V_pred)          φ_G(G) = multihot(G, V_pred)</w:t>
      </w:r>
    </w:p>
    <w:p>
      <w:pPr>
        <w:spacing w:after="110"/>
      </w:pPr>
      <w:r>
        <w:t xml:space="preserve">Feature hashing (MD5 modulo dimension) is used for the mechanism and constraint blocks instead of an enumerated vocabulary, so the embedding accepts free-text mechanism/constraint data not seen during vocabulary construction without retraining or resizing the vector.</w:t>
      </w:r>
    </w:p>
    <w:p>
      <w:pPr>
        <w:pStyle w:val="Heading1"/>
        <w:spacing w:after="140" w:before="280"/>
      </w:pPr>
      <w:r>
        <w:rPr>
          <w:b/>
          <w:bCs/>
        </w:rPr>
        <w:t xml:space="preserve">4. Similarity Measure</w:t>
      </w:r>
    </w:p>
    <w:p>
      <w:pPr>
        <w:spacing w:after="110"/>
      </w:pPr>
      <w:r>
        <w:t xml:space="preserve">Cosine similarity is computed over a chosen sub-range of φ, not always the full vector — this is deliberate, since a single similarity notion cannot answer both "do these do the same thing" and "are these the same implementation" at once.</w:t>
      </w:r>
    </w:p>
    <w:p>
      <w:pPr>
        <w:spacing w:after="140" w:before="60"/>
        <w:jc w:val="center"/>
      </w:pPr>
      <w:r>
        <w:rPr>
          <w:rFonts w:ascii="Cambria Math" w:cs="Cambria Math" w:eastAsia="Cambria Math" w:hAnsi="Cambria Math"/>
          <w:i/>
          <w:iCs/>
          <w:sz w:val="24"/>
          <w:szCs w:val="24"/>
        </w:rPr>
        <w:t xml:space="preserve">sim_block(x, y) = (x_block · y_block) / (‖x_block‖ ‖y_block‖)</w:t>
      </w:r>
    </w:p>
    <w:p>
      <w:pPr>
        <w:pStyle w:val="ListParagraph"/>
        <w:numPr>
          <w:ilvl w:val="0"/>
          <w:numId w:val="2"/>
        </w:numPr>
        <w:spacing w:after="60"/>
      </w:pPr>
      <w:r>
        <w:t xml:space="preserve">full — entire vector, including operational attributes.</w:t>
      </w:r>
    </w:p>
    <w:p>
      <w:pPr>
        <w:pStyle w:val="ListParagraph"/>
        <w:numPr>
          <w:ilvl w:val="0"/>
          <w:numId w:val="2"/>
        </w:numPr>
        <w:spacing w:after="60"/>
      </w:pPr>
      <w:r>
        <w:t xml:space="preserve">functional — everything except the operational block.</w:t>
      </w:r>
    </w:p>
    <w:p>
      <w:pPr>
        <w:pStyle w:val="ListParagraph"/>
        <w:numPr>
          <w:ilvl w:val="0"/>
          <w:numId w:val="2"/>
        </w:numPr>
        <w:spacing w:after="60"/>
      </w:pPr>
      <w:r>
        <w:t xml:space="preserve">pure_function — precondition/effect/input/output/constraint/resource only; excludes type and mechanism. Answers: do these capabilities do the same thing, regardless of implementation?</w:t>
      </w:r>
    </w:p>
    <w:p>
      <w:pPr>
        <w:pStyle w:val="ListParagraph"/>
        <w:numPr>
          <w:ilvl w:val="0"/>
          <w:numId w:val="2"/>
        </w:numPr>
        <w:spacing w:after="60"/>
      </w:pPr>
      <w:r>
        <w:t xml:space="preserve">implementation — type and mechanism only. Answers: are these the same implementation?</w:t>
      </w:r>
    </w:p>
    <w:p>
      <w:pPr>
        <w:pStyle w:val="Heading1"/>
        <w:spacing w:after="140" w:before="280"/>
      </w:pPr>
      <w:r>
        <w:rPr>
          <w:b/>
          <w:bCs/>
        </w:rPr>
        <w:t xml:space="preserve">5. Compatibility Measure (directed, Ci → Cj)</w:t>
      </w:r>
    </w:p>
    <w:p>
      <w:pPr>
        <w:spacing w:after="110"/>
      </w:pPr>
      <w:r>
        <w:t xml:space="preserve">Compatibility is deliberately not a similarity measure. It is an asymmetric, interpretable score built from two set-overlap terms plus an explicit contradiction check, evaluated on the symbolic P/E/I/O sets directly (not on the vectors), since exact entailment is more reliable here than an approximate vector-space test.</w:t>
      </w:r>
    </w:p>
    <w:p>
      <w:pPr>
        <w:spacing w:after="140" w:before="60"/>
        <w:jc w:val="center"/>
      </w:pPr>
      <w:r>
        <w:rPr>
          <w:rFonts w:ascii="Cambria Math" w:cs="Cambria Math" w:eastAsia="Cambria Math" w:hAnsi="Cambria Math"/>
          <w:i/>
          <w:iCs/>
          <w:sz w:val="24"/>
          <w:szCs w:val="24"/>
        </w:rPr>
        <w:t xml:space="preserve">EffectCoverage(C_i,C_j) = |{v : (v=val) ∈ P_j, (v=val) ∈ E_i}| / |{v : (v=val) ∈ P_j}|</w:t>
      </w:r>
    </w:p>
    <w:p>
      <w:pPr>
        <w:spacing w:after="140" w:before="60"/>
        <w:jc w:val="center"/>
      </w:pPr>
      <w:r>
        <w:rPr>
          <w:rFonts w:ascii="Cambria Math" w:cs="Cambria Math" w:eastAsia="Cambria Math" w:hAnsi="Cambria Math"/>
          <w:i/>
          <w:iCs/>
          <w:sz w:val="24"/>
          <w:szCs w:val="24"/>
        </w:rPr>
        <w:t xml:space="preserve">IOCoverage(C_i,C_j) = |O_i ∩ {required inputs of C_j}| / |{required inputs of C_j}|</w:t>
      </w:r>
    </w:p>
    <w:p>
      <w:pPr>
        <w:spacing w:after="140" w:before="60"/>
        <w:jc w:val="center"/>
      </w:pPr>
      <w:r>
        <w:rPr>
          <w:rFonts w:ascii="Cambria Math" w:cs="Cambria Math" w:eastAsia="Cambria Math" w:hAnsi="Cambria Math"/>
          <w:i/>
          <w:iCs/>
          <w:sz w:val="24"/>
          <w:szCs w:val="24"/>
        </w:rPr>
        <w:t xml:space="preserve">Contradiction(C_i,C_j) = ∃ v : (v=val_1) ∈ P_j, (v=val_2) ∈ E_i, val_1 ≠ val_2</w:t>
      </w:r>
    </w:p>
    <w:p>
      <w:pPr>
        <w:spacing w:after="140" w:before="60"/>
        <w:jc w:val="center"/>
      </w:pPr>
      <w:r>
        <w:rPr>
          <w:rFonts w:ascii="Cambria Math" w:cs="Cambria Math" w:eastAsia="Cambria Math" w:hAnsi="Cambria Math"/>
          <w:i/>
          <w:iCs/>
          <w:sz w:val="24"/>
          <w:szCs w:val="24"/>
        </w:rPr>
        <w:t xml:space="preserve">Compat(C_i,C_j) = 0  if Contradiction, else  0.6·EffectCoverage + 0.4·IOCoverage</w:t>
      </w:r>
    </w:p>
    <w:p>
      <w:pPr>
        <w:spacing w:after="140" w:before="60"/>
        <w:jc w:val="center"/>
      </w:pPr>
      <w:r>
        <w:rPr>
          <w:rFonts w:ascii="Cambria Math" w:cs="Cambria Math" w:eastAsia="Cambria Math" w:hAnsi="Cambria Math"/>
          <w:i/>
          <w:iCs/>
          <w:sz w:val="24"/>
          <w:szCs w:val="24"/>
        </w:rPr>
        <w:t xml:space="preserve">Compatible(C_i,C_j) ⇔ ¬Contradiction ∧ EffectCoverage = 1</w:t>
      </w:r>
    </w:p>
    <w:p>
      <w:pPr>
        <w:spacing w:after="110"/>
      </w:pPr>
      <w:r>
        <w:t xml:space="preserve">The 0.6/0.4 weighting reflects that precondition satisfaction is the harder constraint for validity (a capability simply cannot legally run if its preconditions are unmet) while required inputs may legitimately be supplied by an external actor rather than the preceding capability — observed directly in the dataset (Section 7).</w:t>
      </w:r>
    </w:p>
    <w:p>
      <w:pPr>
        <w:pStyle w:val="Heading1"/>
        <w:spacing w:after="140" w:before="280"/>
      </w:pPr>
      <w:r>
        <w:rPr>
          <w:b/>
          <w:bCs/>
        </w:rPr>
        <w:t xml:space="preserve">6. Goal Relevance and Applicability</w:t>
      </w:r>
    </w:p>
    <w:p>
      <w:pPr>
        <w:spacing w:after="140" w:before="60"/>
        <w:jc w:val="center"/>
      </w:pPr>
      <w:r>
        <w:rPr>
          <w:rFonts w:ascii="Cambria Math" w:cs="Cambria Math" w:eastAsia="Cambria Math" w:hAnsi="Cambria Math"/>
          <w:i/>
          <w:iCs/>
          <w:sz w:val="24"/>
          <w:szCs w:val="24"/>
        </w:rPr>
        <w:t xml:space="preserve">GoalRelevance(C_i,G) = |{v : (v=val) ∈ G, (v=val) ∈ E_i}| / |G|</w:t>
      </w:r>
    </w:p>
    <w:p>
      <w:pPr>
        <w:spacing w:after="140" w:before="60"/>
        <w:jc w:val="center"/>
      </w:pPr>
      <w:r>
        <w:rPr>
          <w:rFonts w:ascii="Cambria Math" w:cs="Cambria Math" w:eastAsia="Cambria Math" w:hAnsi="Cambria Math"/>
          <w:i/>
          <w:iCs/>
          <w:sz w:val="24"/>
          <w:szCs w:val="24"/>
        </w:rPr>
        <w:t xml:space="preserve">Applicable(C_i,S) ⇔ ∀ atom ∈ P_i : S ⊨ atom</w:t>
      </w:r>
    </w:p>
    <w:p>
      <w:pPr>
        <w:spacing w:after="110"/>
      </w:pPr>
      <w:r>
        <w:t xml:space="preserve">Applicability is evaluated against a concrete state (numeric comparisons are evaluated arithmetically, not symbolically), distinct from compatibility, which is evaluated capability-to-capability without reference to a specific state.</w:t>
      </w:r>
    </w:p>
    <w:p>
      <w:pPr>
        <w:pStyle w:val="Heading1"/>
        <w:spacing w:after="140" w:before="280"/>
      </w:pPr>
      <w:r>
        <w:rPr>
          <w:b/>
          <w:bCs/>
        </w:rPr>
        <w:t xml:space="preserve">7. Composition Operation</w:t>
      </w:r>
    </w:p>
    <w:p>
      <w:pPr>
        <w:spacing w:after="110"/>
      </w:pPr>
      <w:r>
        <w:t xml:space="preserve">Given compatible C_i, C_j (C_i executes first), the composite C_{i∘j} is derived symbolically, then re-encoded with the same φ_C — so a composite is a first-class member of the same vector space and can itself be composed further (closure).</w:t>
      </w:r>
    </w:p>
    <w:p>
      <w:pPr>
        <w:spacing w:after="140" w:before="60"/>
        <w:jc w:val="center"/>
      </w:pPr>
      <w:r>
        <w:rPr>
          <w:rFonts w:ascii="Cambria Math" w:cs="Cambria Math" w:eastAsia="Cambria Math" w:hAnsi="Cambria Math"/>
          <w:i/>
          <w:iCs/>
          <w:sz w:val="24"/>
          <w:szCs w:val="24"/>
        </w:rPr>
        <w:t xml:space="preserve">P_{i∘j} = P_i ∪ { p ∈ P_j : ¬Entailed(p, E_i) }</w:t>
      </w:r>
    </w:p>
    <w:p>
      <w:pPr>
        <w:spacing w:after="140" w:before="60"/>
        <w:jc w:val="center"/>
      </w:pPr>
      <w:r>
        <w:rPr>
          <w:rFonts w:ascii="Cambria Math" w:cs="Cambria Math" w:eastAsia="Cambria Math" w:hAnsi="Cambria Math"/>
          <w:i/>
          <w:iCs/>
          <w:sz w:val="24"/>
          <w:szCs w:val="24"/>
        </w:rPr>
        <w:t xml:space="preserve">E_{i∘j} = E_i ▷ E_j   (dict union; C_j's effect wins on a shared variable)</w:t>
      </w:r>
    </w:p>
    <w:p>
      <w:pPr>
        <w:spacing w:after="140" w:before="60"/>
        <w:jc w:val="center"/>
      </w:pPr>
      <w:r>
        <w:rPr>
          <w:rFonts w:ascii="Cambria Math" w:cs="Cambria Math" w:eastAsia="Cambria Math" w:hAnsi="Cambria Math"/>
          <w:i/>
          <w:iCs/>
          <w:sz w:val="24"/>
          <w:szCs w:val="24"/>
        </w:rPr>
        <w:t xml:space="preserve">I_{i∘j} = I_i ∪ { s ∈ I_j : key(s) ∉ keys(O_i) }          O_{i∘j} = O_i ∪ O_j</w:t>
      </w:r>
    </w:p>
    <w:p>
      <w:pPr>
        <w:spacing w:after="140" w:before="60"/>
        <w:jc w:val="center"/>
      </w:pPr>
      <w:r>
        <w:rPr>
          <w:rFonts w:ascii="Cambria Math" w:cs="Cambria Math" w:eastAsia="Cambria Math" w:hAnsi="Cambria Math"/>
          <w:i/>
          <w:iCs/>
          <w:sz w:val="24"/>
          <w:szCs w:val="24"/>
        </w:rPr>
        <w:t xml:space="preserve">K_{i∘j} = K_i ∪ K_j          R_{i∘j} = R_i ∪ R_j</w:t>
      </w:r>
    </w:p>
    <w:p>
      <w:pPr>
        <w:spacing w:after="140" w:before="60"/>
        <w:jc w:val="center"/>
      </w:pPr>
      <w:r>
        <w:rPr>
          <w:rFonts w:ascii="Cambria Math" w:cs="Cambria Math" w:eastAsia="Cambria Math" w:hAnsi="Cambria Math"/>
          <w:i/>
          <w:iCs/>
          <w:sz w:val="24"/>
          <w:szCs w:val="24"/>
        </w:rPr>
        <w:t xml:space="preserve">Q_{i∘j}.time = Q_i.time + Q_j.time     (same for money, resource, energy)</w:t>
      </w:r>
    </w:p>
    <w:p>
      <w:pPr>
        <w:spacing w:after="140" w:before="60"/>
        <w:jc w:val="center"/>
      </w:pPr>
      <w:r>
        <w:rPr>
          <w:rFonts w:ascii="Cambria Math" w:cs="Cambria Math" w:eastAsia="Cambria Math" w:hAnsi="Cambria Math"/>
          <w:i/>
          <w:iCs/>
          <w:sz w:val="24"/>
          <w:szCs w:val="24"/>
        </w:rPr>
        <w:t xml:space="preserve">Q_{i∘j}.risk = 1 − (1−Q_i.risk)(1−Q_j.risk)</w:t>
      </w:r>
    </w:p>
    <w:p>
      <w:pPr>
        <w:spacing w:after="140" w:before="60"/>
        <w:jc w:val="center"/>
      </w:pPr>
      <w:r>
        <w:rPr>
          <w:rFonts w:ascii="Cambria Math" w:cs="Cambria Math" w:eastAsia="Cambria Math" w:hAnsi="Cambria Math"/>
          <w:i/>
          <w:iCs/>
          <w:sz w:val="24"/>
          <w:szCs w:val="24"/>
        </w:rPr>
        <w:t xml:space="preserve">Rel_{i∘j} = Rel_i · Rel_j          A_{i∘j} = min(A_i, A_j)</w:t>
      </w:r>
    </w:p>
    <w:p>
      <w:pPr>
        <w:spacing w:after="110"/>
      </w:pPr>
      <w:r>
        <w:t xml:space="preserve">Cost and energy sum under sequential execution. Risk composes as the probability that at least one step fails, assuming independence. Reliability composes as the probability both steps succeed, also assuming independence — a simplification discussed in Section 11 (Limitations) of the technical report. Availability composes as a logical AND: the composite can only run when both constituents can.</w:t>
      </w:r>
    </w:p>
    <w:p>
      <w:pPr>
        <w:spacing w:after="110"/>
      </w:pPr>
      <w:r>
        <w:t xml:space="preserve">Composition of n capabilities is defined by left-to-right iteration: C_{1∘2∘...∘n} = compose(compose(...compose(C_1,C_2)...), C_n), and is defined if and only if every adjacent pair in the chain is compatible (no contradiction at any step).</w:t>
      </w:r>
    </w:p>
    <w:p>
      <w:pPr>
        <w:pStyle w:val="Heading1"/>
        <w:spacing w:after="140" w:before="280"/>
      </w:pPr>
      <w:r>
        <w:rPr>
          <w:b/>
          <w:bCs/>
        </w:rPr>
        <w:t xml:space="preserve">8. Properties Satisfied</w:t>
      </w:r>
    </w:p>
    <w:p>
      <w:pPr>
        <w:pStyle w:val="ListParagraph"/>
        <w:numPr>
          <w:ilvl w:val="0"/>
          <w:numId w:val="2"/>
        </w:numPr>
        <w:spacing w:after="60"/>
      </w:pPr>
      <w:r>
        <w:t xml:space="preserve">Capability identity (req. 1): the type and mechanism blocks alone distinguish capabilities that are functionally identical but differently implemented (implementation_sim ≈ 0 between variants).</w:t>
      </w:r>
    </w:p>
    <w:p>
      <w:pPr>
        <w:pStyle w:val="ListParagraph"/>
        <w:numPr>
          <w:ilvl w:val="0"/>
          <w:numId w:val="2"/>
        </w:numPr>
        <w:spacing w:after="60"/>
      </w:pPr>
      <w:r>
        <w:t xml:space="preserve">State awareness (req. 2): states live in the same ground-atom space as P_i/E_i, so applicability(C_i, S) is a direct, checkable entailment test, not a learned approximation.</w:t>
      </w:r>
    </w:p>
    <w:p>
      <w:pPr>
        <w:pStyle w:val="ListParagraph"/>
        <w:numPr>
          <w:ilvl w:val="0"/>
          <w:numId w:val="2"/>
        </w:numPr>
        <w:spacing w:after="60"/>
      </w:pPr>
      <w:r>
        <w:t xml:space="preserve">Precondition–effect compatibility (req. 3): EffectCoverage directly measures E_i ⇒ P_j.</w:t>
      </w:r>
    </w:p>
    <w:p>
      <w:pPr>
        <w:pStyle w:val="ListParagraph"/>
        <w:numPr>
          <w:ilvl w:val="0"/>
          <w:numId w:val="2"/>
        </w:numPr>
        <w:spacing w:after="60"/>
      </w:pPr>
      <w:r>
        <w:t xml:space="preserve">Input–output compatibility (req. 4): IOCoverage directly measures whether O_i satisfies C_j's inputs.</w:t>
      </w:r>
    </w:p>
    <w:p>
      <w:pPr>
        <w:pStyle w:val="ListParagraph"/>
        <w:numPr>
          <w:ilvl w:val="0"/>
          <w:numId w:val="2"/>
        </w:numPr>
        <w:spacing w:after="60"/>
      </w:pPr>
      <w:r>
        <w:t xml:space="preserve">Similarity ≠ composability (req. 5): similarity() and compatibility() are different functions operating on different (and only partially overlapping) information; Section 9 of the technical report shows a case where they diverge.</w:t>
      </w:r>
    </w:p>
    <w:p>
      <w:pPr>
        <w:pStyle w:val="ListParagraph"/>
        <w:numPr>
          <w:ilvl w:val="0"/>
          <w:numId w:val="2"/>
        </w:numPr>
        <w:spacing w:after="60"/>
      </w:pPr>
      <w:r>
        <w:t xml:space="preserve">Composition (req. 6): Section 7 above, with closure under re-encoding.</w:t>
      </w:r>
    </w:p>
    <w:p>
      <w:pPr>
        <w:pStyle w:val="ListParagraph"/>
        <w:numPr>
          <w:ilvl w:val="0"/>
          <w:numId w:val="2"/>
        </w:numPr>
        <w:spacing w:after="60"/>
      </w:pPr>
      <w:r>
        <w:t xml:space="preserve">Goal relevance (req. 7): GoalRelevance(C_i,G) above.</w:t>
      </w:r>
    </w:p>
    <w:p>
      <w:pPr>
        <w:pStyle w:val="ListParagraph"/>
        <w:numPr>
          <w:ilvl w:val="0"/>
          <w:numId w:val="2"/>
        </w:numPr>
        <w:spacing w:after="60"/>
      </w:pPr>
      <w:r>
        <w:t xml:space="preserve">Operational properties (req. 8): kept in a separate block, excluded from functional/pure_function similarity and from compatibility, but available in full similarity and in composition.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2026-10-02T11:57:51.151Z</dcterms:created>
  <dcterms:modified xsi:type="dcterms:W3CDTF">2026-10-02T11:57:51.165Z</dcterms:modified>
</cp:coreProperties>
</file>

<file path=docProps/custom.xml><?xml version="1.0" encoding="utf-8"?>
<Properties xmlns="http://schemas.openxmlformats.org/officeDocument/2006/custom-properties" xmlns:vt="http://schemas.openxmlformats.org/officeDocument/2006/docPropsVTypes"/>
</file>