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Calibri" w:cs="Calibri" w:eastAsia="Calibri" w:hAnsi="Calibri"/>
          <w:b/>
          <w:bCs/>
          <w:color w:val="0D3B66"/>
          <w:sz w:val="32"/>
          <w:szCs w:val="32"/>
        </w:rPr>
        <w:t xml:space="preserve">Apêndice A5 — Ficha do piloto P06: Modelo de crédito a sellers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Grupo Meridiano · Ficha do modelo preenchida pela Diretoria de Serviços Financeiros · Última atualização: ago/2025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2731"/>
        <w:gridCol w:w="6907"/>
      </w:tblGrid>
      <w:tr>
        <w:trPr>
          <w:tblHeader/>
        </w:trPr>
        <w:tc>
          <w:tcPr>
            <w:tcW w:type="dxa" w:w="2731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Campo</w:t>
            </w:r>
          </w:p>
        </w:tc>
        <w:tc>
          <w:tcPr>
            <w:tcW w:type="dxa" w:w="6907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273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Unidade</w:t>
            </w:r>
          </w:p>
        </w:tc>
        <w:tc>
          <w:tcPr>
            <w:tcW w:type="dxa" w:w="690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Serviços financeiros</w:t>
            </w:r>
          </w:p>
        </w:tc>
      </w:tr>
      <w:tr>
        <w:trPr>
          <w:tblHeader w:val="false"/>
        </w:trPr>
        <w:tc>
          <w:tcPr>
            <w:tcW w:type="dxa" w:w="273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Responsável</w:t>
            </w:r>
          </w:p>
        </w:tc>
        <w:tc>
          <w:tcPr>
            <w:tcW w:type="dxa" w:w="690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Diretoria de Serviços Financeiros</w:t>
            </w:r>
          </w:p>
        </w:tc>
      </w:tr>
      <w:tr>
        <w:trPr>
          <w:tblHeader w:val="false"/>
        </w:trPr>
        <w:tc>
          <w:tcPr>
            <w:tcW w:type="dxa" w:w="273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Status</w:t>
            </w:r>
          </w:p>
        </w:tc>
        <w:tc>
          <w:tcPr>
            <w:tcW w:type="dxa" w:w="690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Produção</w:t>
            </w:r>
          </w:p>
        </w:tc>
      </w:tr>
      <w:tr>
        <w:trPr>
          <w:tblHeader w:val="false"/>
        </w:trPr>
        <w:tc>
          <w:tcPr>
            <w:tcW w:type="dxa" w:w="273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Em operação desde</w:t>
            </w:r>
          </w:p>
        </w:tc>
        <w:tc>
          <w:tcPr>
            <w:tcW w:type="dxa" w:w="690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set/2025</w:t>
            </w:r>
          </w:p>
        </w:tc>
      </w:tr>
      <w:tr>
        <w:trPr>
          <w:tblHeader w:val="false"/>
        </w:trPr>
        <w:tc>
          <w:tcPr>
            <w:tcW w:type="dxa" w:w="2731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Equipe</w:t>
            </w:r>
          </w:p>
        </w:tc>
        <w:tc>
          <w:tcPr>
            <w:tcW w:type="dxa" w:w="6907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2 cientistas de dados e 1 analista de risco</w:t>
            </w:r>
          </w:p>
        </w:tc>
      </w:tr>
    </w:tbl>
    <w:p>
      <w:pPr>
        <w:spacing w:after="160"/>
      </w:pP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Objetivo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Definir automaticamente o limite e a taxa de juros de capital de giro e de antecipação de recebíveis oferecidos aos sellers do marketplace.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Como funciona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1. Todo mês, o modelo calcula a probabilidade de inadimplência de cada seller ativo e a converte em uma faixa de risco (A a E), que define limite e taxa.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2. </w:t>
      </w:r>
      <w:r>
        <w:rPr>
          <w:rFonts w:ascii="Calibri" w:cs="Calibri" w:eastAsia="Calibri" w:hAnsi="Calibri"/>
          <w:b/>
          <w:bCs/>
          <w:sz w:val="20"/>
          <w:szCs w:val="20"/>
        </w:rPr>
        <w:t xml:space="preserve">Pedidos de até R$ 50 mil são aprovados ou recusados automaticamente.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Acima disso, passam pelo comitê de crédito.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3. O seller vê a oferta no portal e contrata com um clique.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Modelo</w:t>
      </w:r>
    </w:p>
    <w:tbl>
      <w:tblPr>
        <w:tblW w:type="dxa" w:w="9638"/>
        <w:tblBorders>
          <w:top w:val="single" w:color="C9D2DB" w:sz="2"/>
          <w:left w:val="single" w:color="C9D2DB" w:sz="2"/>
          <w:bottom w:val="single" w:color="C9D2DB" w:sz="2"/>
          <w:right w:val="single" w:color="C9D2DB" w:sz="2"/>
          <w:insideH w:val="single" w:color="C9D2DB" w:sz="2"/>
          <w:insideV w:val="single" w:color="C9D2DB" w:sz="2"/>
        </w:tblBorders>
        <w:tblLayout w:type="fixed"/>
      </w:tblPr>
      <w:tblGrid>
        <w:gridCol w:w="1470"/>
        <w:gridCol w:w="8168"/>
      </w:tblGrid>
      <w:tr>
        <w:trPr>
          <w:tblHeader/>
        </w:trPr>
        <w:tc>
          <w:tcPr>
            <w:tcW w:type="dxa" w:w="1470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Item</w:t>
            </w:r>
          </w:p>
        </w:tc>
        <w:tc>
          <w:tcPr>
            <w:tcW w:type="dxa" w:w="8168"/>
            <w:shd w:fill="EEF2F6" w:val="clear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/>
                <w:bCs/>
                <w:color w:val="0D3B66"/>
                <w:sz w:val="18"/>
                <w:szCs w:val="18"/>
              </w:rPr>
              <w:t xml:space="preserve">Informação</w:t>
            </w:r>
          </w:p>
        </w:tc>
      </w:tr>
      <w:tr>
        <w:trPr>
          <w:tblHeader w:val="false"/>
        </w:trPr>
        <w:tc>
          <w:tcPr>
            <w:tcW w:type="dxa" w:w="14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Tipo</w:t>
            </w:r>
          </w:p>
        </w:tc>
        <w:tc>
          <w:tcPr>
            <w:tcW w:type="dxa" w:w="816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Classificação (regressão logística) com tabela de decisão</w:t>
            </w:r>
          </w:p>
        </w:tc>
      </w:tr>
      <w:tr>
        <w:trPr>
          <w:tblHeader w:val="false"/>
        </w:trPr>
        <w:tc>
          <w:tcPr>
            <w:tcW w:type="dxa" w:w="14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Variável-alvo</w:t>
            </w:r>
          </w:p>
        </w:tc>
        <w:tc>
          <w:tcPr>
            <w:tcW w:type="dxa" w:w="816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Atraso acima de 30 dias em até 6 meses</w:t>
            </w:r>
          </w:p>
        </w:tc>
      </w:tr>
      <w:tr>
        <w:trPr>
          <w:tblHeader w:val="false"/>
        </w:trPr>
        <w:tc>
          <w:tcPr>
            <w:tcW w:type="dxa" w:w="14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Período dos dados de treino</w:t>
            </w:r>
          </w:p>
        </w:tc>
        <w:tc>
          <w:tcPr>
            <w:tcW w:type="dxa" w:w="816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jun a ago/2025</w:t>
            </w:r>
          </w:p>
        </w:tc>
      </w:tr>
      <w:tr>
        <w:trPr>
          <w:tblHeader w:val="false"/>
        </w:trPr>
        <w:tc>
          <w:tcPr>
            <w:tcW w:type="dxa" w:w="14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Variáveis</w:t>
            </w:r>
          </w:p>
        </w:tc>
        <w:tc>
          <w:tcPr>
            <w:tcW w:type="dxa" w:w="816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Faturamento mensal, % de pedidos entregues com atraso, nota média dos clientes, peso do frete no valor da venda, tempo de plataforma, estado do seller</w:t>
            </w:r>
          </w:p>
        </w:tc>
      </w:tr>
      <w:tr>
        <w:trPr>
          <w:tblHeader w:val="false"/>
        </w:trPr>
        <w:tc>
          <w:tcPr>
            <w:tcW w:type="dxa" w:w="14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Desempenho na validação</w:t>
            </w:r>
          </w:p>
        </w:tc>
        <w:tc>
          <w:tcPr>
            <w:tcW w:type="dxa" w:w="816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AUC de 0,79</w:t>
            </w:r>
          </w:p>
        </w:tc>
      </w:tr>
      <w:tr>
        <w:trPr>
          <w:tblHeader w:val="false"/>
        </w:trPr>
        <w:tc>
          <w:tcPr>
            <w:tcW w:type="dxa" w:w="1470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Retreino previsto</w:t>
            </w:r>
          </w:p>
        </w:tc>
        <w:tc>
          <w:tcPr>
            <w:tcW w:type="dxa" w:w="8168"/>
            <w:tcMar>
              <w:top w:type="dxa" w:w="70"/>
              <w:left w:type="dxa" w:w="100"/>
              <w:bottom w:type="dxa" w:w="70"/>
              <w:right w:type="dxa" w:w="100"/>
            </w:tcMar>
            <w:vAlign w:val="top"/>
          </w:tcPr>
          <w:p>
            <w:pPr>
              <w:spacing w:after="0" w:line="240"/>
            </w:pPr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Não definido</w:t>
            </w:r>
          </w:p>
        </w:tc>
      </w:tr>
    </w:tbl>
    <w:p>
      <w:pPr>
        <w:spacing w:after="160"/>
      </w:pPr>
    </w:p>
    <w:p>
      <w:pPr>
        <w:spacing w:after="130" w:line="264"/>
        <w:jc w:val="both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Stack: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 Nuvem B · integrações com sistema de crédito e portal do seller.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Dados utilizados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Dados cadastrais dos sellers (pessoas físicas e jurídicas), desempenho de vendas e entregas no marketplace e histórico de pagamentos das operações de crédito.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Controle humano e transparência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Recusas automáticas não passam por revisão humana.</w:t>
      </w:r>
    </w:p>
    <w:p>
      <w:pPr>
        <w:pStyle w:val="ListParagraph"/>
        <w:numPr>
          <w:ilvl w:val="0"/>
          <w:numId w:val="2"/>
        </w:numPr>
        <w:spacing w:after="60" w:line="264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O seller recebe apenas a mensagem “oferta indisponível no momento”, sem explicação do motivo, e não há canal para contestar a decisão.</w:t>
      </w:r>
    </w:p>
    <w:p>
      <w:pPr>
        <w:pStyle w:val="Heading1"/>
        <w:keepNext/>
        <w:spacing w:after="130" w:before="320"/>
      </w:pPr>
      <w:r>
        <w:rPr>
          <w:rFonts w:ascii="Calibri" w:cs="Calibri" w:eastAsia="Calibri" w:hAnsi="Calibri"/>
          <w:b/>
          <w:bCs/>
          <w:color w:val="0D3B66"/>
          <w:sz w:val="23"/>
          <w:szCs w:val="23"/>
        </w:rPr>
        <w:t xml:space="preserve">Monitoramento</w:t>
      </w:r>
    </w:p>
    <w:p>
      <w:pPr>
        <w:spacing w:after="130" w:line="264"/>
        <w:jc w:val="both"/>
      </w:pP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Relatório trimestral de inadimplência da carteira. A estabilidade das variáveis de entrada passou a ser medida em set/2026, a pedido do conselho.</w:t>
      </w:r>
    </w:p>
    <w:p>
      <w:pPr>
        <w:spacing w:after="140" w:line="264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Esta ficha não foi atualizada desde o lançamento do modelo.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624" w:footer="624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026"/>
      </w:tabs>
    </w:pPr>
    <w:r>
      <w:rPr>
        <w:rFonts w:ascii="Calibri" w:cs="Calibri" w:eastAsia="Calibri" w:hAnsi="Calibri"/>
        <w:color w:val="595959"/>
        <w:sz w:val="16"/>
        <w:szCs w:val="16"/>
      </w:rPr>
      <w:t xml:space="preserve">Versão de referência — Não publicar sem revisão editorial</w:t>
    </w:r>
    <w:r>
      <w:rPr>
        <w:rFonts w:ascii="Calibri" w:cs="Calibri" w:eastAsia="Calibri" w:hAnsi="Calibri"/>
        <w:color w:val="595959"/>
        <w:sz w:val="16"/>
        <w:szCs w:val="16"/>
      </w:rPr>
      <w:tab/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9D9D9" w:sz="4" w:space="4"/>
      </w:pBdr>
      <w:spacing w:after="0"/>
    </w:pPr>
    <w:r>
      <w:rPr>
        <w:rFonts w:ascii="Calibri" w:cs="Calibri" w:eastAsia="Calibri" w:hAnsi="Calibri"/>
        <w:color w:val="595959"/>
        <w:sz w:val="16"/>
        <w:szCs w:val="16"/>
      </w:rPr>
      <w:t xml:space="preserve">MBA Inteli | Módulo 4 | Case Grupo Meridiano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2026-10-09T15:13:03.465Z</dcterms:created>
  <dcterms:modified xsi:type="dcterms:W3CDTF">2026-10-09T15:13:03.465Z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