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416179">
        <w:rPr>
          <w:rFonts w:ascii="Montserrat" w:hAnsi="Montserrat"/>
          <w:sz w:val="22"/>
          <w:szCs w:val="20"/>
        </w:rPr>
        <w:t xml:space="preserve">294-1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 xml:space="preserve"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 xml:space="preserve">Ciudad de México 11 de abril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78,075.00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281,070,000.00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 xml:space="preserve"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>
        <w:rPr>
          <w:rFonts w:ascii="Montserrat" w:hAnsi="Montserrat"/>
          <w:spacing w:val="-6"/>
          <w:sz w:val="14"/>
          <w:szCs w:val="18"/>
        </w:rPr>
        <w:t xml:space="preserve"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 xml:space="preserve"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