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b/>
          <w:bCs/>
          <w:color w:val="1C1B19"/>
          <w:sz w:val="44"/>
          <w:szCs w:val="44"/>
        </w:rPr>
        <w:t xml:space="preserve">NORTE — Guía de Rol: Marketing Digital</w:t>
      </w:r>
    </w:p>
    <w:p>
      <w:pPr>
        <w:spacing w:after="400"/>
      </w:pPr>
      <w:r>
        <w:rPr>
          <w:i/>
          <w:iCs/>
          <w:color w:val="6B6559"/>
          <w:sz w:val="24"/>
          <w:szCs w:val="24"/>
        </w:rPr>
        <w:t xml:space="preserve">Documento de referencia para arrancar sin fricción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Tu rol en este proyecto</w:t>
      </w:r>
    </w:p>
    <w:p>
      <w:pPr>
        <w:spacing w:after="160"/>
      </w:pPr>
      <w:r>
        <w:rPr>
          <w:sz w:val="22"/>
          <w:szCs w:val="22"/>
        </w:rPr>
        <w:t xml:space="preserve">Generás la demanda y comunicás el relanzamiento de NORTE al público correcto.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Tareas iniciales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Revisar el sitio legacy y el brief para entender la marca, el tono y el público objetivo actual.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Armar el calendario de contenido para las 5 semanas (redes, email/WhatsApp).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Definir el concepto y objetivo de la campaña de lanzamiento del sitio nuevo.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Hacer una auditoría SEO básica del sitio legacy (títulos, descripciones, estructura).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Entregables esperados / Definition of Done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Calendario de contenido de las 5 semanas.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Brief de campaña de lanzamiento (objetivo, mensaje, canales, fecha).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Reporte de auditoría SEO del sitio legacy con recomendaciones.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Dependencias con otros roles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3340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  <w:tc>
          <w:tcPr>
            <w:tcW w:type="dxa" w:w="4500"/>
            <w:shd w:fill="3340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 entrega a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Identidad de marca (brief), fecha de lanzamiento definida por PM y avance de Frontend para la landing.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PM (calendario y campaña) y Frontend (requerimientos de landing, si aplica).</w:t>
            </w:r>
          </w:p>
        </w:tc>
      </w:tr>
    </w:tbl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Recursos disponibles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Brief de NORTE (marca, tono, público).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Sitio legacy HTML: contenido y estructura actuales a auditar.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Tips para arrancar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esperes a que el sitio nuevo exista para empezar: la auditoría del legacy y el calendario de contenido arrancan desde el día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Mirá cómo está armado el catálogo actual (nombres, descripciones de producto): ahí hay pistas del tono real de la marca.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2026-07-22T15:33:11.652Z</dcterms:created>
  <dcterms:modified xsi:type="dcterms:W3CDTF">2026-07-22T15:33:11.652Z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