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D8BF" w14:textId="77777777" w:rsidR="004E3C39" w:rsidRDefault="00555831">
      <w:r w:rsidRPr="00555831">
        <w:rPr>
          <w:b/>
        </w:rPr>
        <w:t>Nome:</w:t>
      </w:r>
      <w:r>
        <w:rPr>
          <w:b/>
        </w:rPr>
        <w:t xml:space="preserve"> </w:t>
      </w:r>
      <w:r>
        <w:t>Gabriélly Custódio Ferreira.</w:t>
      </w:r>
    </w:p>
    <w:p w14:paraId="392FF366" w14:textId="77777777" w:rsidR="00555831" w:rsidRDefault="00555831">
      <w:r>
        <w:rPr>
          <w:b/>
        </w:rPr>
        <w:t xml:space="preserve">Curso: </w:t>
      </w:r>
      <w:r>
        <w:t>4° ano ADS-MAS</w:t>
      </w:r>
    </w:p>
    <w:p w14:paraId="7F996BFD" w14:textId="77777777" w:rsidR="00555831" w:rsidRDefault="00555831">
      <w:r>
        <w:t xml:space="preserve"> </w:t>
      </w:r>
    </w:p>
    <w:p w14:paraId="3BD0C43E" w14:textId="77777777" w:rsidR="00555831" w:rsidRDefault="00555831">
      <w:pPr>
        <w:rPr>
          <w:b/>
          <w:color w:val="FF0000"/>
          <w:sz w:val="40"/>
          <w:szCs w:val="40"/>
        </w:rPr>
      </w:pPr>
      <w:r w:rsidRPr="00555831">
        <w:rPr>
          <w:b/>
          <w:color w:val="FF0000"/>
          <w:sz w:val="40"/>
          <w:szCs w:val="40"/>
        </w:rPr>
        <w:t xml:space="preserve">                   </w:t>
      </w:r>
      <w:r>
        <w:rPr>
          <w:b/>
          <w:color w:val="FF0000"/>
          <w:sz w:val="40"/>
          <w:szCs w:val="40"/>
        </w:rPr>
        <w:t xml:space="preserve">  </w:t>
      </w:r>
      <w:r w:rsidRPr="00555831">
        <w:rPr>
          <w:b/>
          <w:color w:val="FF0000"/>
          <w:sz w:val="40"/>
          <w:szCs w:val="40"/>
        </w:rPr>
        <w:t xml:space="preserve"> Exemplo das 7° ondas</w:t>
      </w:r>
    </w:p>
    <w:p w14:paraId="0F04BA7F" w14:textId="606E968C" w:rsidR="00555831" w:rsidRPr="00A92859" w:rsidRDefault="00555831" w:rsidP="00273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706529">
        <w:rPr>
          <w:rFonts w:asciiTheme="minorHAnsi" w:hAnsiTheme="minorHAnsi" w:cstheme="minorHAnsi"/>
          <w:b/>
          <w:color w:val="002060"/>
          <w:sz w:val="22"/>
          <w:szCs w:val="22"/>
        </w:rPr>
        <w:t>Exemplo da 1° onda</w:t>
      </w:r>
      <w:r w:rsidRPr="002737F9">
        <w:rPr>
          <w:rFonts w:asciiTheme="minorHAnsi" w:hAnsiTheme="minorHAnsi" w:cstheme="minorHAnsi"/>
          <w:b/>
          <w:color w:val="002060"/>
          <w:sz w:val="22"/>
          <w:szCs w:val="22"/>
        </w:rPr>
        <w:t>:</w:t>
      </w:r>
      <w:r w:rsidR="00706529" w:rsidRPr="002737F9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</w:t>
      </w:r>
      <w:r w:rsidR="00706529"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E</w:t>
      </w:r>
      <w:r w:rsidR="00706529"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nergia hidráulica</w:t>
      </w:r>
      <w:r w:rsidR="00706529"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="00706529"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é toda energia obtida pela força da movimentação da água corrente ou em desníveis acentuados e que se consolidou como um dos métodos mais usados para gerar eletricidade.</w:t>
      </w:r>
      <w:r w:rsidR="00706529"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="00706529"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A energia hidráulica </w:t>
      </w:r>
      <w:r w:rsidR="002737F9"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que </w:t>
      </w:r>
      <w:r w:rsidR="00706529"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é obtida pelo aproveitamento do potencial gravitacional da água corrente e de quedas d`água</w:t>
      </w:r>
      <w:r w:rsidR="002737F9"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,</w:t>
      </w:r>
      <w:r w:rsidR="00706529"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="002737F9"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quando convertida </w:t>
      </w:r>
      <w:r w:rsidR="00706529"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é usada para gerar eletricidade passa a ser chamada de energia hidrelétrica.</w:t>
      </w:r>
    </w:p>
    <w:p w14:paraId="0D926C1A" w14:textId="77777777" w:rsidR="002737F9" w:rsidRPr="002737F9" w:rsidRDefault="002737F9" w:rsidP="00273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81818"/>
          <w:sz w:val="22"/>
          <w:szCs w:val="22"/>
        </w:rPr>
      </w:pPr>
    </w:p>
    <w:p w14:paraId="437347C5" w14:textId="77777777" w:rsidR="002274A7" w:rsidRPr="00706529" w:rsidRDefault="00555831" w:rsidP="00555831">
      <w:pPr>
        <w:rPr>
          <w:rFonts w:cstheme="minorHAnsi"/>
          <w:b/>
          <w:color w:val="002060"/>
        </w:rPr>
      </w:pPr>
      <w:r w:rsidRPr="00706529">
        <w:rPr>
          <w:rFonts w:cstheme="minorHAnsi"/>
          <w:b/>
          <w:color w:val="002060"/>
        </w:rPr>
        <w:t>Exemplo da 2° onda:</w:t>
      </w:r>
    </w:p>
    <w:p w14:paraId="38951BCC" w14:textId="77777777" w:rsidR="00555831" w:rsidRPr="00A92859" w:rsidRDefault="002274A7" w:rsidP="00555831">
      <w:pPr>
        <w:rPr>
          <w:rFonts w:cstheme="minorHAnsi"/>
          <w:b/>
          <w:color w:val="0D0D0D" w:themeColor="text1" w:themeTint="F2"/>
        </w:rPr>
      </w:pPr>
      <w:r w:rsidRPr="00A92859">
        <w:rPr>
          <w:rFonts w:cstheme="minorHAnsi"/>
          <w:color w:val="0D0D0D" w:themeColor="text1" w:themeTint="F2"/>
        </w:rPr>
        <w:t>Em f</w:t>
      </w:r>
      <w:r w:rsidR="00555831" w:rsidRPr="00A92859">
        <w:rPr>
          <w:rFonts w:cstheme="minorHAnsi"/>
          <w:color w:val="0D0D0D" w:themeColor="text1" w:themeTint="F2"/>
        </w:rPr>
        <w:t>rigoríficos,</w:t>
      </w:r>
      <w:r w:rsidRPr="00A92859">
        <w:rPr>
          <w:rFonts w:cstheme="minorHAnsi"/>
          <w:color w:val="0D0D0D" w:themeColor="text1" w:themeTint="F2"/>
        </w:rPr>
        <w:t xml:space="preserve"> tendo seu uso indispensável</w:t>
      </w:r>
      <w:r w:rsidR="00555831" w:rsidRPr="00A92859">
        <w:rPr>
          <w:rFonts w:cstheme="minorHAnsi"/>
          <w:color w:val="0D0D0D" w:themeColor="text1" w:themeTint="F2"/>
        </w:rPr>
        <w:t xml:space="preserve"> as caldeiras geradoras de vapor são responsáveis e estão presentes na maioria dos processos deste segmento industrial, sendo totalmente dependente desse maquinário, ou seja, qualquer possível parada na caldeira faz com que toda a indústria deixe de funcionar, tornando-se assim um dos equipamentos mais importantes dentro do frigorífico.</w:t>
      </w:r>
      <w:r w:rsidRPr="00A92859">
        <w:rPr>
          <w:rFonts w:cstheme="minorHAnsi"/>
          <w:color w:val="0D0D0D" w:themeColor="text1" w:themeTint="F2"/>
        </w:rPr>
        <w:t xml:space="preserve"> </w:t>
      </w:r>
    </w:p>
    <w:p w14:paraId="4B5822AC" w14:textId="77777777" w:rsidR="00555831" w:rsidRPr="00706529" w:rsidRDefault="00555831" w:rsidP="00555831">
      <w:pPr>
        <w:rPr>
          <w:rFonts w:cstheme="minorHAnsi"/>
          <w:b/>
          <w:color w:val="002060"/>
        </w:rPr>
      </w:pPr>
      <w:r w:rsidRPr="00706529">
        <w:rPr>
          <w:rFonts w:cstheme="minorHAnsi"/>
          <w:b/>
          <w:color w:val="002060"/>
        </w:rPr>
        <w:t>Exemplo da 3° onda:</w:t>
      </w:r>
    </w:p>
    <w:p w14:paraId="0F36F7DB" w14:textId="77777777" w:rsidR="002274A7" w:rsidRPr="00A92859" w:rsidRDefault="002274A7" w:rsidP="00555831">
      <w:pPr>
        <w:rPr>
          <w:rFonts w:cstheme="minorHAnsi"/>
          <w:color w:val="0D0D0D" w:themeColor="text1" w:themeTint="F2"/>
          <w:shd w:val="clear" w:color="auto" w:fill="FFFFFF"/>
        </w:rPr>
      </w:pPr>
      <w:r w:rsidRPr="00A92859">
        <w:rPr>
          <w:rFonts w:cstheme="minorHAnsi"/>
          <w:color w:val="0D0D0D" w:themeColor="text1" w:themeTint="F2"/>
          <w:shd w:val="clear" w:color="auto" w:fill="FFFFFF"/>
        </w:rPr>
        <w:t>Dentro da </w:t>
      </w:r>
      <w:r w:rsidRPr="00A92859">
        <w:rPr>
          <w:rStyle w:val="Forte"/>
          <w:rFonts w:cstheme="minorHAnsi"/>
          <w:color w:val="0D0D0D" w:themeColor="text1" w:themeTint="F2"/>
          <w:shd w:val="clear" w:color="auto" w:fill="FFFFFF"/>
        </w:rPr>
        <w:t>indústria química</w:t>
      </w:r>
      <w:r w:rsidRPr="00A92859">
        <w:rPr>
          <w:rFonts w:cstheme="minorHAnsi"/>
          <w:color w:val="0D0D0D" w:themeColor="text1" w:themeTint="F2"/>
          <w:shd w:val="clear" w:color="auto" w:fill="FFFFFF"/>
        </w:rPr>
        <w:t xml:space="preserve"> há o segmento da petroquímica, que se caracteriza por utilizar a nafta e gás natural como matéria prima básica. Fornecendo os conhecimentos e os mecanismos para a extração de substâncias químicas a partir dos combustíveis fósseis. A gasolina, diesel, querosene, propano, metano e butano são alguns dos combustíveis fósseis que permitem o desenvolvimento de produtos da petroquímica. No Brasil existem três </w:t>
      </w:r>
      <w:proofErr w:type="spellStart"/>
      <w:r w:rsidRPr="00A92859">
        <w:rPr>
          <w:rFonts w:cstheme="minorHAnsi"/>
          <w:color w:val="0D0D0D" w:themeColor="text1" w:themeTint="F2"/>
          <w:shd w:val="clear" w:color="auto" w:fill="FFFFFF"/>
        </w:rPr>
        <w:t>pólos</w:t>
      </w:r>
      <w:proofErr w:type="spellEnd"/>
      <w:r w:rsidRPr="00A92859">
        <w:rPr>
          <w:rFonts w:cstheme="minorHAnsi"/>
          <w:color w:val="0D0D0D" w:themeColor="text1" w:themeTint="F2"/>
          <w:shd w:val="clear" w:color="auto" w:fill="FFFFFF"/>
        </w:rPr>
        <w:t xml:space="preserve"> petroquímicos: Camaçari (BA), Triunfo (RS) e no ABC Paulista.</w:t>
      </w:r>
    </w:p>
    <w:p w14:paraId="4ACF3817" w14:textId="77777777" w:rsidR="00DE0CC2" w:rsidRPr="00A92859" w:rsidRDefault="00DE0CC2" w:rsidP="00DE0C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Hidroelétricas gera a energia hidráulica que é obtida pelo aproveitamento do potencial gravitacional da água corrente e de quedas d`água. Quando é usada para gerar eletricidade passa a ser chamada de energia hidrelétrica.</w:t>
      </w:r>
    </w:p>
    <w:p w14:paraId="0AA7B8A7" w14:textId="77777777" w:rsidR="00DE0CC2" w:rsidRPr="00A92859" w:rsidRDefault="00DE0CC2" w:rsidP="00DE0C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A9285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Devido ao seu enorme potencial hídrico, o Brasil vem historicamente focando seus investimentos em hidrelétricas</w:t>
      </w:r>
    </w:p>
    <w:p w14:paraId="5F63A087" w14:textId="77777777" w:rsidR="00DE0CC2" w:rsidRPr="00706529" w:rsidRDefault="00DE0CC2" w:rsidP="00DE0C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C124E49" w14:textId="77777777" w:rsidR="00555831" w:rsidRPr="00706529" w:rsidRDefault="00555831" w:rsidP="00555831">
      <w:pPr>
        <w:rPr>
          <w:rFonts w:cstheme="minorHAnsi"/>
          <w:b/>
          <w:color w:val="002060"/>
        </w:rPr>
      </w:pPr>
      <w:r w:rsidRPr="00706529">
        <w:rPr>
          <w:rFonts w:cstheme="minorHAnsi"/>
          <w:b/>
          <w:color w:val="002060"/>
        </w:rPr>
        <w:t>Exemplo da 4° onda:</w:t>
      </w:r>
    </w:p>
    <w:p w14:paraId="355207EF" w14:textId="77777777" w:rsidR="00DE0CC2" w:rsidRPr="002737F9" w:rsidRDefault="00DE0CC2" w:rsidP="00555831">
      <w:pPr>
        <w:rPr>
          <w:rFonts w:cstheme="minorHAnsi"/>
          <w:b/>
          <w:color w:val="0D0D0D" w:themeColor="text1" w:themeTint="F2"/>
        </w:rPr>
      </w:pPr>
      <w:r w:rsidRPr="002737F9">
        <w:rPr>
          <w:rFonts w:cstheme="minorHAnsi"/>
          <w:color w:val="0D0D0D" w:themeColor="text1" w:themeTint="F2"/>
          <w:shd w:val="clear" w:color="auto" w:fill="FFFFFF"/>
        </w:rPr>
        <w:t>Podemos citar como exemplos de produção em massa: </w:t>
      </w:r>
      <w:r w:rsidRPr="002737F9">
        <w:rPr>
          <w:rFonts w:cstheme="minorHAnsi"/>
          <w:color w:val="0D0D0D" w:themeColor="text1" w:themeTint="F2"/>
        </w:rPr>
        <w:t>as montadoras de automóveis, manufaturas de eletrodomésticos e indústria alimentícia</w:t>
      </w:r>
      <w:r w:rsidRPr="002737F9">
        <w:rPr>
          <w:rFonts w:cstheme="minorHAnsi"/>
          <w:color w:val="0D0D0D" w:themeColor="text1" w:themeTint="F2"/>
          <w:shd w:val="clear" w:color="auto" w:fill="FFFFFF"/>
        </w:rPr>
        <w:t>. Processos contínuos situam-se a um passo além dos processos de produção em massa pelo fato de operarem em volumes, ainda maiores e, em geral, têm variedade ainda mais baixa</w:t>
      </w:r>
      <w:r w:rsidR="00361A32" w:rsidRPr="002737F9">
        <w:rPr>
          <w:rFonts w:cstheme="minorHAnsi"/>
          <w:color w:val="0D0D0D" w:themeColor="text1" w:themeTint="F2"/>
          <w:shd w:val="clear" w:color="auto" w:fill="FFFFFF"/>
        </w:rPr>
        <w:t xml:space="preserve">. Exemplo </w:t>
      </w:r>
      <w:r w:rsidRPr="002737F9">
        <w:rPr>
          <w:rFonts w:cstheme="minorHAnsi"/>
          <w:color w:val="0D0D0D" w:themeColor="text1" w:themeTint="F2"/>
          <w:shd w:val="clear" w:color="auto" w:fill="FFFFFF"/>
        </w:rPr>
        <w:t>Coca-Cola</w:t>
      </w:r>
      <w:r w:rsidR="00361A32" w:rsidRPr="002737F9">
        <w:rPr>
          <w:rFonts w:cstheme="minorHAnsi"/>
          <w:color w:val="0D0D0D" w:themeColor="text1" w:themeTint="F2"/>
          <w:shd w:val="clear" w:color="auto" w:fill="FFFFFF"/>
        </w:rPr>
        <w:t>.</w:t>
      </w:r>
    </w:p>
    <w:p w14:paraId="27072541" w14:textId="00BEA0E1" w:rsidR="00555831" w:rsidRPr="00706529" w:rsidRDefault="00555831" w:rsidP="00555831">
      <w:pPr>
        <w:rPr>
          <w:rFonts w:cstheme="minorHAnsi"/>
          <w:b/>
          <w:color w:val="002060"/>
        </w:rPr>
      </w:pPr>
      <w:r w:rsidRPr="00706529">
        <w:rPr>
          <w:rFonts w:cstheme="minorHAnsi"/>
          <w:b/>
          <w:color w:val="002060"/>
        </w:rPr>
        <w:t>Exemplo da 5° onda:</w:t>
      </w:r>
    </w:p>
    <w:p w14:paraId="3D7521CB" w14:textId="34EFC6D2" w:rsidR="00706529" w:rsidRPr="002737F9" w:rsidRDefault="00706529" w:rsidP="00706529">
      <w:pPr>
        <w:pStyle w:val="NormalWeb"/>
        <w:spacing w:before="0" w:beforeAutospacing="0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2737F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As redes sociais são espaços virtuais onde grupos de pessoas ou empresas se relacionam através do envio de mensagens, da partilha de conteúdos, entre outros.</w:t>
      </w:r>
      <w:r w:rsidRPr="002737F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Pr="002737F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Atualmente existem diferentes redes sociais, cada uma com um propósito e um público-alvo específico.</w:t>
      </w:r>
      <w:r w:rsidRPr="002737F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Como por exemplo: </w:t>
      </w:r>
      <w:r w:rsidRPr="002737F9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>Facebook</w:t>
      </w:r>
      <w:r w:rsidRPr="002737F9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2737F9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>Instagram</w:t>
      </w:r>
      <w:r w:rsidRPr="002737F9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2737F9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>WhatsApp</w:t>
      </w:r>
      <w:r w:rsidRPr="002737F9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 xml:space="preserve"> entre outros.</w:t>
      </w:r>
    </w:p>
    <w:p w14:paraId="52B59B4B" w14:textId="1AD7D9C3" w:rsidR="00555831" w:rsidRPr="00706529" w:rsidRDefault="00555831" w:rsidP="00555831">
      <w:pPr>
        <w:rPr>
          <w:rFonts w:cstheme="minorHAnsi"/>
          <w:b/>
          <w:color w:val="002060"/>
        </w:rPr>
      </w:pPr>
      <w:r w:rsidRPr="00706529">
        <w:rPr>
          <w:rFonts w:cstheme="minorHAnsi"/>
          <w:b/>
          <w:color w:val="002060"/>
        </w:rPr>
        <w:t>Exemplo da 6° onda:</w:t>
      </w:r>
    </w:p>
    <w:p w14:paraId="0868EDD5" w14:textId="77777777" w:rsidR="00706529" w:rsidRPr="002737F9" w:rsidRDefault="00706529" w:rsidP="00706529">
      <w:pPr>
        <w:rPr>
          <w:rFonts w:cstheme="minorHAnsi"/>
          <w:color w:val="0D0D0D" w:themeColor="text1" w:themeTint="F2"/>
          <w:shd w:val="clear" w:color="auto" w:fill="FFFFFF"/>
        </w:rPr>
      </w:pPr>
      <w:r w:rsidRPr="002737F9">
        <w:rPr>
          <w:rFonts w:cstheme="minorHAnsi"/>
          <w:color w:val="0D0D0D" w:themeColor="text1" w:themeTint="F2"/>
          <w:shd w:val="clear" w:color="auto" w:fill="FFFFFF"/>
        </w:rPr>
        <w:lastRenderedPageBreak/>
        <w:t>Boston Dynamics é uma empresa americana de </w:t>
      </w:r>
      <w:r w:rsidRPr="002737F9">
        <w:rPr>
          <w:rFonts w:cstheme="minorHAnsi"/>
          <w:color w:val="0D0D0D" w:themeColor="text1" w:themeTint="F2"/>
        </w:rPr>
        <w:t>engenharia</w:t>
      </w:r>
      <w:r w:rsidRPr="002737F9">
        <w:rPr>
          <w:rFonts w:cstheme="minorHAnsi"/>
          <w:color w:val="0D0D0D" w:themeColor="text1" w:themeTint="F2"/>
          <w:shd w:val="clear" w:color="auto" w:fill="FFFFFF"/>
        </w:rPr>
        <w:t> e </w:t>
      </w:r>
      <w:r w:rsidRPr="002737F9">
        <w:rPr>
          <w:rFonts w:cstheme="minorHAnsi"/>
          <w:color w:val="0D0D0D" w:themeColor="text1" w:themeTint="F2"/>
        </w:rPr>
        <w:t xml:space="preserve">designer de robótica </w:t>
      </w:r>
      <w:r w:rsidRPr="002737F9">
        <w:rPr>
          <w:rFonts w:cstheme="minorHAnsi"/>
          <w:color w:val="0D0D0D" w:themeColor="text1" w:themeTint="F2"/>
          <w:shd w:val="clear" w:color="auto" w:fill="FFFFFF"/>
        </w:rPr>
        <w:t>fundada em 1992 como um </w:t>
      </w:r>
      <w:r w:rsidRPr="002737F9">
        <w:rPr>
          <w:rFonts w:cstheme="minorHAnsi"/>
          <w:color w:val="0D0D0D" w:themeColor="text1" w:themeTint="F2"/>
        </w:rPr>
        <w:t>spin-of</w:t>
      </w:r>
      <w:r w:rsidRPr="002737F9">
        <w:rPr>
          <w:rFonts w:cstheme="minorHAnsi"/>
          <w:color w:val="0D0D0D" w:themeColor="text1" w:themeTint="F2"/>
          <w:shd w:val="clear" w:color="auto" w:fill="FFFFFF"/>
        </w:rPr>
        <w:t> do Instituto de tecnologia de Massachusetts. Com sede em Waltham, Massachusetts, a Boston Dynamics é de propriedade do Hyundai Motor Group desde dezembro de 2020, mas só tendo concluído a aquisição em junho de 2021. </w:t>
      </w:r>
    </w:p>
    <w:p w14:paraId="3C78C8DD" w14:textId="05255D1D" w:rsidR="00706529" w:rsidRPr="002737F9" w:rsidRDefault="00706529" w:rsidP="00706529">
      <w:pPr>
        <w:rPr>
          <w:rFonts w:cstheme="minorHAnsi"/>
          <w:b/>
          <w:color w:val="0D0D0D" w:themeColor="text1" w:themeTint="F2"/>
        </w:rPr>
      </w:pPr>
      <w:r w:rsidRPr="002737F9">
        <w:rPr>
          <w:rFonts w:cstheme="minorHAnsi"/>
          <w:color w:val="0D0D0D" w:themeColor="text1" w:themeTint="F2"/>
          <w:shd w:val="clear" w:color="auto" w:fill="FFFFFF"/>
        </w:rPr>
        <w:t>O BigDog foi um </w:t>
      </w:r>
      <w:r w:rsidRPr="002737F9">
        <w:rPr>
          <w:rFonts w:cstheme="minorHAnsi"/>
          <w:color w:val="0D0D0D" w:themeColor="text1" w:themeTint="F2"/>
        </w:rPr>
        <w:t>robô</w:t>
      </w:r>
      <w:r w:rsidRPr="002737F9">
        <w:rPr>
          <w:rFonts w:cstheme="minorHAnsi"/>
          <w:color w:val="0D0D0D" w:themeColor="text1" w:themeTint="F2"/>
          <w:shd w:val="clear" w:color="auto" w:fill="FFFFFF"/>
        </w:rPr>
        <w:t xml:space="preserve"> quadrúpede criado em 2005 pela Boston Dynamics, em conjunto com a Foster-Miller o Laboratório de Propulsão a Jato e a Estação de Campo Concord da Universidade de Harvard. Foi financiado pela </w:t>
      </w:r>
      <w:r w:rsidR="00A92859" w:rsidRPr="002737F9">
        <w:rPr>
          <w:rFonts w:cstheme="minorHAnsi"/>
          <w:color w:val="0D0D0D" w:themeColor="text1" w:themeTint="F2"/>
          <w:shd w:val="clear" w:color="auto" w:fill="FFFFFF"/>
        </w:rPr>
        <w:t>DARPA na</w:t>
      </w:r>
      <w:r w:rsidRPr="002737F9">
        <w:rPr>
          <w:rFonts w:cstheme="minorHAnsi"/>
          <w:color w:val="0D0D0D" w:themeColor="text1" w:themeTint="F2"/>
          <w:shd w:val="clear" w:color="auto" w:fill="FFFFFF"/>
        </w:rPr>
        <w:t xml:space="preserve"> esperança de que seria capaz de servir como uma </w:t>
      </w:r>
      <w:r w:rsidRPr="002737F9">
        <w:rPr>
          <w:rFonts w:cstheme="minorHAnsi"/>
          <w:color w:val="0D0D0D" w:themeColor="text1" w:themeTint="F2"/>
        </w:rPr>
        <w:t>mula</w:t>
      </w:r>
      <w:r w:rsidRPr="002737F9">
        <w:rPr>
          <w:rFonts w:cstheme="minorHAnsi"/>
          <w:color w:val="0D0D0D" w:themeColor="text1" w:themeTint="F2"/>
          <w:shd w:val="clear" w:color="auto" w:fill="FFFFFF"/>
        </w:rPr>
        <w:t> robótica para acompanhar soldados em terrenos muito ásperos para veículos, mas o projeto foi arquivado depois que o BigDog foi considerado muito alto para ser usado em combate</w:t>
      </w:r>
    </w:p>
    <w:p w14:paraId="65C9C3C9" w14:textId="77777777" w:rsidR="00706529" w:rsidRPr="00706529" w:rsidRDefault="00706529" w:rsidP="00555831">
      <w:pPr>
        <w:rPr>
          <w:rFonts w:cstheme="minorHAnsi"/>
          <w:b/>
          <w:color w:val="002060"/>
        </w:rPr>
      </w:pPr>
    </w:p>
    <w:p w14:paraId="1C137B84" w14:textId="77777777" w:rsidR="00555831" w:rsidRPr="00706529" w:rsidRDefault="00555831" w:rsidP="00555831">
      <w:pPr>
        <w:rPr>
          <w:rFonts w:cstheme="minorHAnsi"/>
          <w:b/>
          <w:color w:val="002060"/>
        </w:rPr>
      </w:pPr>
      <w:r w:rsidRPr="00706529">
        <w:rPr>
          <w:rFonts w:cstheme="minorHAnsi"/>
          <w:b/>
          <w:color w:val="002060"/>
        </w:rPr>
        <w:t>Exemplo da 7° onda:</w:t>
      </w:r>
    </w:p>
    <w:p w14:paraId="3E90DB5A" w14:textId="39EF8C2F" w:rsidR="002737F9" w:rsidRPr="00A92859" w:rsidRDefault="00723B7C">
      <w:pPr>
        <w:rPr>
          <w:rFonts w:cstheme="minorHAnsi"/>
          <w:color w:val="0D0D0D" w:themeColor="text1" w:themeTint="F2"/>
          <w:spacing w:val="-4"/>
          <w:shd w:val="clear" w:color="auto" w:fill="FFFFFF"/>
        </w:rPr>
      </w:pPr>
      <w:r w:rsidRPr="002737F9">
        <w:rPr>
          <w:rFonts w:cstheme="minorHAnsi"/>
          <w:color w:val="0D0D0D" w:themeColor="text1" w:themeTint="F2"/>
          <w:spacing w:val="-4"/>
          <w:shd w:val="clear" w:color="auto" w:fill="FFFFFF"/>
        </w:rPr>
        <w:t>Os anos de 2020, 2021 e este começo de 2022 provocaram significativas mudanças nos hábitos digitais das pessoas em todo o mundo. Com a pandemia de Covid-19, o consumo de informações nos mais variados formatos dentro das mídias sociais aumentou significativamente.</w:t>
      </w:r>
      <w:r w:rsidR="00A92859">
        <w:rPr>
          <w:rFonts w:cstheme="minorHAnsi"/>
          <w:color w:val="0D0D0D" w:themeColor="text1" w:themeTint="F2"/>
          <w:spacing w:val="-4"/>
          <w:shd w:val="clear" w:color="auto" w:fill="FFFFFF"/>
        </w:rPr>
        <w:t xml:space="preserve"> </w:t>
      </w:r>
      <w:r w:rsidR="00A92859" w:rsidRPr="00A92859">
        <w:rPr>
          <w:rFonts w:cstheme="minorHAnsi"/>
          <w:color w:val="0D0D0D" w:themeColor="text1" w:themeTint="F2"/>
          <w:shd w:val="clear" w:color="auto" w:fill="FFFFFF"/>
        </w:rPr>
        <w:t>Se antes o home office era uma das modalidades de trabalho possíveis, desde o início da pandemia o trabalho remoto passou a ser a solução viável para a manutenção das atividades de muitas empresas. A operação das agências de publicidade e propaganda, por exemplo, pode ser eficiente mesmo com a equipe alocada em diferentes espaços de trabalho. A mesma regra se aplica para companhias de outros segmentos.</w:t>
      </w:r>
      <w:r w:rsidR="00A92859">
        <w:rPr>
          <w:rFonts w:cstheme="minorHAnsi"/>
          <w:color w:val="0D0D0D" w:themeColor="text1" w:themeTint="F2"/>
          <w:spacing w:val="-4"/>
          <w:shd w:val="clear" w:color="auto" w:fill="FFFFFF"/>
        </w:rPr>
        <w:t xml:space="preserve"> </w:t>
      </w:r>
      <w:r w:rsidR="002737F9" w:rsidRPr="002737F9">
        <w:rPr>
          <w:rFonts w:cstheme="minorHAnsi"/>
          <w:color w:val="0D0D0D" w:themeColor="text1" w:themeTint="F2"/>
          <w:shd w:val="clear" w:color="auto" w:fill="F7F8F9"/>
        </w:rPr>
        <w:t>Apesar das dificuldades, 50% das empresas disseram que a experiência com o teletrabalho superou as expectativas e 44% afirmam que o resultado ficou dentro do esperado. No entanto, pouco mais de um terço (36%) disse que não pretende manter o trabalho a distância após o fim da pandemia. Um percentual semelhante (34%) tem a intenção de continuar com o teletrabalho para até 25% do quadro. O restante (29%) quer manter o </w:t>
      </w:r>
      <w:r w:rsidR="002737F9" w:rsidRPr="002737F9">
        <w:rPr>
          <w:rStyle w:val="nfase"/>
          <w:rFonts w:cstheme="minorHAnsi"/>
          <w:color w:val="0D0D0D" w:themeColor="text1" w:themeTint="F2"/>
          <w:shd w:val="clear" w:color="auto" w:fill="F7F8F9"/>
        </w:rPr>
        <w:t>home office</w:t>
      </w:r>
      <w:r w:rsidR="002737F9" w:rsidRPr="002737F9">
        <w:rPr>
          <w:rFonts w:cstheme="minorHAnsi"/>
          <w:color w:val="0D0D0D" w:themeColor="text1" w:themeTint="F2"/>
          <w:shd w:val="clear" w:color="auto" w:fill="F7F8F9"/>
        </w:rPr>
        <w:t> para pelo menos 50% do quadro ou até todos os funcionários.</w:t>
      </w:r>
    </w:p>
    <w:sectPr w:rsidR="002737F9" w:rsidRPr="00A92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31"/>
    <w:rsid w:val="002274A7"/>
    <w:rsid w:val="002737F9"/>
    <w:rsid w:val="00361A32"/>
    <w:rsid w:val="00555831"/>
    <w:rsid w:val="00706529"/>
    <w:rsid w:val="00723B7C"/>
    <w:rsid w:val="0079729E"/>
    <w:rsid w:val="00A92859"/>
    <w:rsid w:val="00AE063B"/>
    <w:rsid w:val="00D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0405"/>
  <w15:chartTrackingRefBased/>
  <w15:docId w15:val="{CE652074-072B-4A58-BE63-A7C61AB1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74A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23B7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737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9FB9BD02515942A306EA61D45245FD" ma:contentTypeVersion="12" ma:contentTypeDescription="Crie um novo documento." ma:contentTypeScope="" ma:versionID="1f2020a29a98c67fc06dfb04f71ef3ed">
  <xsd:schema xmlns:xsd="http://www.w3.org/2001/XMLSchema" xmlns:xs="http://www.w3.org/2001/XMLSchema" xmlns:p="http://schemas.microsoft.com/office/2006/metadata/properties" xmlns:ns2="f13e98de-e098-4bd7-9dac-6cecd4c278f2" xmlns:ns3="9c1bedcb-78d8-44a9-8762-8c58686ea6ab" targetNamespace="http://schemas.microsoft.com/office/2006/metadata/properties" ma:root="true" ma:fieldsID="64e251c629d7c409ceb1d1748c3cea14" ns2:_="" ns3:_="">
    <xsd:import namespace="f13e98de-e098-4bd7-9dac-6cecd4c278f2"/>
    <xsd:import namespace="9c1bedcb-78d8-44a9-8762-8c58686ea6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e98de-e098-4bd7-9dac-6cecd4c278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bedcb-78d8-44a9-8762-8c58686ea6a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35e433e-65e5-49e9-a838-b04565b2928e}" ma:internalName="TaxCatchAll" ma:showField="CatchAllData" ma:web="9c1bedcb-78d8-44a9-8762-8c58686ea6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3e98de-e098-4bd7-9dac-6cecd4c278f2" xsi:nil="true"/>
    <TaxCatchAll xmlns="9c1bedcb-78d8-44a9-8762-8c58686ea6ab" xsi:nil="true"/>
    <lcf76f155ced4ddcb4097134ff3c332f xmlns="f13e98de-e098-4bd7-9dac-6cecd4c278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FBB3B1-13B4-42EB-860C-A7E733BCD663}"/>
</file>

<file path=customXml/itemProps2.xml><?xml version="1.0" encoding="utf-8"?>
<ds:datastoreItem xmlns:ds="http://schemas.openxmlformats.org/officeDocument/2006/customXml" ds:itemID="{4791CCA2-C243-4C93-957C-7378BCB0FC4F}"/>
</file>

<file path=customXml/itemProps3.xml><?xml version="1.0" encoding="utf-8"?>
<ds:datastoreItem xmlns:ds="http://schemas.openxmlformats.org/officeDocument/2006/customXml" ds:itemID="{74203311-4F6C-4421-8CCC-645DC53ED1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695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GABRIELLY CUSTODIO FERREIRA</cp:lastModifiedBy>
  <cp:revision>2</cp:revision>
  <dcterms:created xsi:type="dcterms:W3CDTF">2023-03-09T01:47:00Z</dcterms:created>
  <dcterms:modified xsi:type="dcterms:W3CDTF">2023-03-09T01:47:00Z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0x010100639FB9BD02515942A306EA61D45245FD</vt:lpwstr>
  </property>
</Properties>
</file>