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010M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VF3L45GYXFS124528.</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010M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VF3L45GYXFS124528</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10FJCG2192735</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