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308R</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F66ASDSCDC7P.</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27th June 2025 between RENTCO AFRICA LIMITED (PIN NO P051402351S) of Post Office Box Number 24736 -00100 Nairobi in the Republic of Kenya (hereinafter called the “Vendor) of the one part, and JAMES GACHERU holder of ID No. 35867077 issued by the Republic of Kenya and of Post Office Box  987-00100 NAIROBI,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2014</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Nissan Patrol Heavy Duty</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Red</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308R</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F66ASDSCDC7P</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F65191ASASX7P</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Seven Hundred And Forty Thousand Only (740000/-)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740000/-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Seven Hundred And Forty Thousand Only (KES 740,000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