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asdcsacd</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dscsc.</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dcdsc between RENTCO AFRICA LIMITED (PIN NO P051402351S) of Post Office Box Number 24736 -00100 Nairobi in the Republic of Kenya (hereinafter called the “Vendor) of the one part, and sdjnsdc holder of ID No. {{client_id}} issued by the Republic of Kenya and of Post Office Box  {{postal_address}}, Email {{email_id}}, Tel {{contact_no}}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dscdsc</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sdcsdc</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dscdsc</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asdcsacd</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dscsc</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dssd</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Five Hundred Thousand Only (adcdsc/-)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adcdsc/-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Five Hundred Thousand Only (KES adcdsc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sdjnsdc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