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ohwgeysasbm" w:id="0"/>
      <w:bookmarkEnd w:id="0"/>
      <w:r w:rsidDel="00000000" w:rsidR="00000000" w:rsidRPr="00000000">
        <w:rPr>
          <w:rtl w:val="0"/>
        </w:rPr>
        <w:t xml:space="preserve">Manual de Desarrollo Estándar — Gaci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manual establece las bases arquitectónicas, metodológicas y operativas para el desarrollo de software en Gaci, transitando desde GeneXus hacia un ecosistema estándar, robusto y escalable con asistencia de Inteligencia Artificial.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1crky5z2tvv3" w:id="1"/>
      <w:bookmarkEnd w:id="1"/>
      <w:r w:rsidDel="00000000" w:rsidR="00000000" w:rsidRPr="00000000">
        <w:rPr>
          <w:rtl w:val="0"/>
        </w:rPr>
        <w:t xml:space="preserve">Módulos de contexto portables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Los archivos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skills/</w:t>
      </w:r>
      <w:r w:rsidDel="00000000" w:rsidR="00000000" w:rsidRPr="00000000">
        <w:rPr>
          <w:rtl w:val="0"/>
        </w:rPr>
        <w:t xml:space="preserve"> son módulos de contexto portables e independientes del proveedor. Pueden usarse con OpenCode, Claude, Codex u otro asistente capaz de recibir instrucciones o archivos de contexto; no constituyen un formato propietario ni requieren frontmatter específico.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dhwrcym33yns" w:id="2"/>
      <w:bookmarkEnd w:id="2"/>
      <w:r w:rsidDel="00000000" w:rsidR="00000000" w:rsidRPr="00000000">
        <w:rPr>
          <w:rtl w:val="0"/>
        </w:rPr>
        <w:t xml:space="preserve">Uso general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Elegir el módulo que corresponda a la tarea.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Compartirlo con el asistente junto con el objetivo, archivos relevantes, restricciones y resultado esperado.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Aplicar sus reglas y revisar la salida contra el manual y el código real.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Combinar módulos cuando la tarea cruce disciplinas, sin asumir que el asistente los cargará automáticamente.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nntrjcpcc1z7" w:id="3"/>
      <w:bookmarkEnd w:id="3"/>
      <w:r w:rsidDel="00000000" w:rsidR="00000000" w:rsidRPr="00000000">
        <w:rPr>
          <w:rtl w:val="0"/>
        </w:rPr>
        <w:t xml:space="preserve">0. Fase Cero: Descubrimiento de Producto y Documentación de Legacy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Antes de escribir una sola línea de código nuevo, debemos entender a la perfección </w:t>
      </w:r>
      <w:r w:rsidDel="00000000" w:rsidR="00000000" w:rsidRPr="00000000">
        <w:rPr>
          <w:b w:val="1"/>
          <w:bCs w:val="1"/>
          <w:rtl w:val="0"/>
        </w:rPr>
        <w:t xml:space="preserve">QUÉ</w:t>
      </w:r>
      <w:r w:rsidDel="00000000" w:rsidR="00000000" w:rsidRPr="00000000">
        <w:rPr>
          <w:rtl w:val="0"/>
        </w:rPr>
        <w:t xml:space="preserve"> queremos construir y </w:t>
      </w:r>
      <w:r w:rsidDel="00000000" w:rsidR="00000000" w:rsidRPr="00000000">
        <w:rPr>
          <w:b w:val="1"/>
          <w:bCs w:val="1"/>
          <w:rtl w:val="0"/>
        </w:rPr>
        <w:t xml:space="preserve">CÓMO</w:t>
      </w:r>
      <w:r w:rsidDel="00000000" w:rsidR="00000000" w:rsidRPr="00000000">
        <w:rPr>
          <w:rtl w:val="0"/>
        </w:rPr>
        <w:t xml:space="preserve"> funciona actualmente el sistema antiguo. El éxito de la migración depende de esta fase.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d4rkd927qtfu" w:id="4"/>
      <w:bookmarkEnd w:id="4"/>
      <w:r w:rsidDel="00000000" w:rsidR="00000000" w:rsidRPr="00000000">
        <w:rPr>
          <w:rtl w:val="0"/>
        </w:rPr>
        <w:t xml:space="preserve">A. Descubrimiento de Producto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Para proyectos nuevos, no partimos de la tecnología, sino del problema de negocio. Utilizamos el 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gaci-product-discovery.md</w:t>
      </w:r>
      <w:r w:rsidDel="00000000" w:rsidR="00000000" w:rsidRPr="00000000">
        <w:rPr>
          <w:rtl w:val="0"/>
        </w:rPr>
        <w:t xml:space="preserve"> para realizar una entrevista de producto que defina usuarios, reglas de negocio, flujos de interacción y alcance (MVP) antes de diseñar la arquitectura técnica.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v9v536qnfybu" w:id="5"/>
      <w:bookmarkEnd w:id="5"/>
      <w:r w:rsidDel="00000000" w:rsidR="00000000" w:rsidRPr="00000000">
        <w:rPr>
          <w:rtl w:val="0"/>
        </w:rPr>
        <w:t xml:space="preserve">B. Puente desde GeneXus (Legacy a Moderno)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Los analistas funcionales poseen un valioso conocimiento de las reglas de negocio encapsuladas en el código de GeneXus. Para extraer ese conocimiento y documentarlo de forma moderna, utilizamos el 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gaci-gx-bridge.md</w:t>
      </w:r>
      <w:r w:rsidDel="00000000" w:rsidR="00000000" w:rsidRPr="00000000">
        <w:rPr>
          <w:rtl w:val="0"/>
        </w:rPr>
        <w:t xml:space="preserve">. Este módulo permite: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Analizar transacciones o código de GX para desenterrar reglas de negocio ocultas.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Mapear pantallas de GX a interfaces modernas.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Generar especificaciones técnicas para una futura implementación en Arquitectura Hexagonal, preservando la lógica de negocio original pero eliminando deudas técnicas heredadas.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957yzupilksb" w:id="6"/>
      <w:bookmarkEnd w:id="6"/>
      <w:r w:rsidDel="00000000" w:rsidR="00000000" w:rsidRPr="00000000">
        <w:rPr>
          <w:rtl w:val="0"/>
        </w:rPr>
        <w:t xml:space="preserve">1. Filosofía de Desarrollo: Fundamentos &gt; Sintaxis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 desarrollo estándar nos devuelve el control total de las aplicaciones, pero también nos exige responsabilidad. Para evitar la deuda técnica y garantizar el éxito de la migración, nos regimos por tres pilares fundamentales: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lógica de negocio es sagrada:</w:t>
      </w:r>
      <w:r w:rsidDel="00000000" w:rsidR="00000000" w:rsidRPr="00000000">
        <w:rPr>
          <w:rtl w:val="0"/>
        </w:rPr>
        <w:t xml:space="preserve"> El código que describe las reglas comerciales de Gaci debe estar completamente desacoplado del framework, de la base de datos y de cualquier librería externa.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IA es un copiloto, no el piloto:</w:t>
      </w:r>
      <w:r w:rsidDel="00000000" w:rsidR="00000000" w:rsidRPr="00000000">
        <w:rPr>
          <w:rtl w:val="0"/>
        </w:rPr>
        <w:t xml:space="preserve"> Usamos asistentes de IA para acelerar la escritura de código, pero todo código generado debe cumplir estrictamente con los contratos de arquitectura y calidad definidos en este manual.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guiado por contratos:</w:t>
      </w:r>
      <w:r w:rsidDel="00000000" w:rsidR="00000000" w:rsidRPr="00000000">
        <w:rPr>
          <w:rtl w:val="0"/>
        </w:rPr>
        <w:t xml:space="preserve"> Definimos interfaces e invariantes antes de escribir implementaciones concretas. Esto facilita la colaboración en equipo y el testeo automatizado.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yt5zsws5xiyk" w:id="7"/>
      <w:bookmarkEnd w:id="7"/>
      <w:r w:rsidDel="00000000" w:rsidR="00000000" w:rsidRPr="00000000">
        <w:rPr>
          <w:rtl w:val="0"/>
        </w:rPr>
        <w:t xml:space="preserve">2. Arquitectura de referencia para Backend: Hexagonal (Clean Architecture)</w:t>
      </w:r>
    </w:p>
    <w:p w:rsidR="00000000" w:rsidDel="00000000" w:rsidP="00000000" w:rsidRDefault="00000000" w:rsidRPr="00000000" w14:paraId="0000002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Alcance de esta guía:</w:t>
      </w:r>
      <w:r w:rsidDel="00000000" w:rsidR="00000000" w:rsidRPr="00000000">
        <w:rPr>
          <w:rtl w:val="0"/>
        </w:rPr>
        <w:t xml:space="preserve"> la Arquitectura Hexagonal y las tecnologías descritas en este manual son referencias para proyectos compatibles con ellas. La arquitectura concreta debe decidirse según el contexto del proyecto y el estándar corporativo; no constituye una obligación tecnológica universal.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Para desacoplar el negocio de la tecnología y permitir una evolución continua, esta guía utiliza </w:t>
      </w:r>
      <w:r w:rsidDel="00000000" w:rsidR="00000000" w:rsidRPr="00000000">
        <w:rPr>
          <w:b w:val="1"/>
          <w:bCs w:val="1"/>
          <w:rtl w:val="0"/>
        </w:rPr>
        <w:t xml:space="preserve">Arquitectura Hexagonal</w:t>
      </w:r>
      <w:r w:rsidDel="00000000" w:rsidR="00000000" w:rsidRPr="00000000">
        <w:rPr>
          <w:rtl w:val="0"/>
        </w:rPr>
        <w:t xml:space="preserve"> como referencia. Esta estructura divide nuestra aplicación en tres capas concéntricas con una regla de dependencia estricta: </w:t>
      </w:r>
      <w:r w:rsidDel="00000000" w:rsidR="00000000" w:rsidRPr="00000000">
        <w:rPr>
          <w:i w:val="1"/>
          <w:iCs w:val="1"/>
          <w:rtl w:val="0"/>
        </w:rPr>
        <w:t xml:space="preserve">las capas externas dependen de las internas, nunca al revés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[ Infraestructura (Adapters) 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[ Aplicación (Use Cases) 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[ Dominio ]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vlp8rcs0jsd7" w:id="8"/>
      <w:bookmarkEnd w:id="8"/>
      <w:r w:rsidDel="00000000" w:rsidR="00000000" w:rsidRPr="00000000">
        <w:rPr>
          <w:rtl w:val="0"/>
        </w:rPr>
        <w:t xml:space="preserve">Capa 1: Dominio (Domain)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 el núcleo de la aplicación. Contiene las entidades de negocio, los objetos de valor (Value Objects) y las reglas de validación puras.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 de oro:</w:t>
      </w:r>
      <w:r w:rsidDel="00000000" w:rsidR="00000000" w:rsidRPr="00000000">
        <w:rPr>
          <w:rtl w:val="0"/>
        </w:rPr>
        <w:t xml:space="preserve"> No puede tener dependencias externas (sin frameworks, sin ORMs, sin decoradores de NestJS). Es código TypeScript puro.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Entidad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Articulo</w:t>
      </w:r>
      <w:r w:rsidDel="00000000" w:rsidR="00000000" w:rsidRPr="00000000">
        <w:rPr>
          <w:rtl w:val="0"/>
        </w:rPr>
        <w:t xml:space="preserve">, que valida que un precio de lista nunca sea negativo.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lb8n9prlmbl" w:id="9"/>
      <w:bookmarkEnd w:id="9"/>
      <w:r w:rsidDel="00000000" w:rsidR="00000000" w:rsidRPr="00000000">
        <w:rPr>
          <w:rtl w:val="0"/>
        </w:rPr>
        <w:t xml:space="preserve">Capa 2: Aplicación (Application / Use Cases)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Orquesta el flujo de datos. Implementa los "Casos de Uso" de la empresa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CrearPedido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SincronizarStockGaciWin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Puertos (Ports):</w:t>
      </w:r>
      <w:r w:rsidDel="00000000" w:rsidR="00000000" w:rsidRPr="00000000">
        <w:rPr>
          <w:rtl w:val="0"/>
        </w:rPr>
        <w:t xml:space="preserve"> Define interfaces para la entrada (Input Ports, ej. comandos de los controladores) y la salida (Output Ports, 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IArticuloRepository</w:t>
      </w:r>
      <w:r w:rsidDel="00000000" w:rsidR="00000000" w:rsidRPr="00000000">
        <w:rPr>
          <w:rtl w:val="0"/>
        </w:rPr>
        <w:t xml:space="preserve"> para persistencia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IIAClient</w:t>
      </w:r>
      <w:r w:rsidDel="00000000" w:rsidR="00000000" w:rsidRPr="00000000">
        <w:rPr>
          <w:rtl w:val="0"/>
        </w:rPr>
        <w:t xml:space="preserve"> para integración con IA).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Dependencias:</w:t>
      </w:r>
      <w:r w:rsidDel="00000000" w:rsidR="00000000" w:rsidRPr="00000000">
        <w:rPr>
          <w:rtl w:val="0"/>
        </w:rPr>
        <w:t xml:space="preserve"> Solo depende del Dominio. No sabe si los datos se guardan en SQL Server, PostgreSQL o en un archivo plano.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wcu78qu1cwy3" w:id="10"/>
      <w:bookmarkEnd w:id="10"/>
      <w:r w:rsidDel="00000000" w:rsidR="00000000" w:rsidRPr="00000000">
        <w:rPr>
          <w:rtl w:val="0"/>
        </w:rPr>
        <w:t xml:space="preserve">Capa 3: Infraestructura (Infrastructure / Adapters)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Contiene las implementaciones tecnológicas concretas que interactúan con el mundo exterior.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Adaptadores de Entrada (Primary Adapters):</w:t>
      </w:r>
      <w:r w:rsidDel="00000000" w:rsidR="00000000" w:rsidRPr="00000000">
        <w:rPr>
          <w:rtl w:val="0"/>
        </w:rPr>
        <w:t xml:space="preserve"> Controladores REST de NestJS, listeners de colas de mensajería, etc.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Adaptadores de Salida (Secondary Adapters):</w:t>
      </w:r>
      <w:r w:rsidDel="00000000" w:rsidR="00000000" w:rsidRPr="00000000">
        <w:rPr>
          <w:rtl w:val="0"/>
        </w:rPr>
        <w:t xml:space="preserve"> Repositorios de persistencia que implementan las interfaces de Aplicación (usando TypeORM o Prisma), clientes HTTP que conectan con APIs externas de IA o con los sistemas legados en GeneXus 9 (Gaci Win).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4jpw6nf3w7i9" w:id="11"/>
      <w:bookmarkEnd w:id="11"/>
      <w:r w:rsidDel="00000000" w:rsidR="00000000" w:rsidRPr="00000000">
        <w:rPr>
          <w:rtl w:val="0"/>
        </w:rPr>
        <w:t xml:space="preserve">3. Implementación de Referencia en Backend: NestJS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Cuando el proyecto adopta TypeScript y esta arquitectura, </w:t>
      </w:r>
      <w:r w:rsidDel="00000000" w:rsidR="00000000" w:rsidRPr="00000000">
        <w:rPr>
          <w:b w:val="1"/>
          <w:bCs w:val="1"/>
          <w:rtl w:val="0"/>
        </w:rPr>
        <w:t xml:space="preserve">NestJS</w:t>
      </w:r>
      <w:r w:rsidDel="00000000" w:rsidR="00000000" w:rsidRPr="00000000">
        <w:rPr>
          <w:rtl w:val="0"/>
        </w:rPr>
        <w:t xml:space="preserve"> es una implementación de referencia por su robustez empresarial, soporte nativo de TypeScript y arquitectura basada en módulos, la cual encaja perfectamente con los conceptos de la Arquitectura Hexagonal. La elección final queda sujeta a la decisión del proyecto y al estándar corporativo.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nnvnk47eg2zr" w:id="12"/>
      <w:bookmarkEnd w:id="12"/>
      <w:r w:rsidDel="00000000" w:rsidR="00000000" w:rsidRPr="00000000">
        <w:rPr>
          <w:rtl w:val="0"/>
        </w:rPr>
        <w:t xml:space="preserve">Estructura de Carpetas Recomendada (por Módulo)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Cada módulo funcional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pedidos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articulos</w:t>
      </w:r>
      <w:r w:rsidDel="00000000" w:rsidR="00000000" w:rsidRPr="00000000">
        <w:rPr>
          <w:rtl w:val="0"/>
        </w:rPr>
        <w:t xml:space="preserve">) debe estructurarse de la siguiente manera: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└── modulos/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└── articulos/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├── domain/                  # Capa de Dominio (TypeScript puro)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│   ├── entities/            # Entidades (ej. articulo.entity.ts)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│   └── exceptions/          # Excepciones de negocio customizadas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├── application/             # Capa de Aplicación (Casos de Uso)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│   ├── use-cases/           # Casos de uso (ej. crear-articulo.use-case.ts)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│   └── ports/               # Interfaces / Puertos (ej. articulo.repository.port.ts)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└── infrastructure/          # Capa de Infraestructura (Adapters)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├── controllers/         # Controladores de NestJS (ej. articulo.controller.ts)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├── persistence/         # Repositorio concreto (ej. articulo.orm.repository.ts)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└── dto/                 # Data Transfer Objects para validación de entrada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z303o92fk1po" w:id="13"/>
      <w:bookmarkEnd w:id="13"/>
      <w:r w:rsidDel="00000000" w:rsidR="00000000" w:rsidRPr="00000000">
        <w:rPr>
          <w:rtl w:val="0"/>
        </w:rPr>
        <w:t xml:space="preserve">4. Lineamientos de referencia para Frontend: React y Angular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En proyectos que adopten React o Angular, se recomienda un desarrollo frontend altamente modular, declarativo y centrado en la separación de responsabilidades: </w:t>
      </w:r>
      <w:r w:rsidDel="00000000" w:rsidR="00000000" w:rsidRPr="00000000">
        <w:rPr>
          <w:b w:val="1"/>
          <w:bCs w:val="1"/>
          <w:rtl w:val="0"/>
        </w:rPr>
        <w:t xml:space="preserve">la UI solo debe renderizar, la lógica debe vivir fuera de ella</w:t>
      </w:r>
      <w:r w:rsidDel="00000000" w:rsidR="00000000" w:rsidRPr="00000000">
        <w:rPr>
          <w:rtl w:val="0"/>
        </w:rPr>
        <w:t xml:space="preserve">. La tecnología y los lineamientos concretos quedan sujetos a la decisión del proyecto y al estándar corporativo.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lz3mqtt70e82" w:id="14"/>
      <w:bookmarkEnd w:id="14"/>
      <w:r w:rsidDel="00000000" w:rsidR="00000000" w:rsidRPr="00000000">
        <w:rPr>
          <w:rtl w:val="0"/>
        </w:rPr>
        <w:t xml:space="preserve">A. Lineamientos Generales (Comunes a ambos)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Separación de Lógica y UI:</w:t>
      </w:r>
      <w:r w:rsidDel="00000000" w:rsidR="00000000" w:rsidRPr="00000000">
        <w:rPr>
          <w:rtl w:val="0"/>
        </w:rPr>
        <w:t xml:space="preserve"> Los componentes visuales deben ser lo más tontos posibles. Toda la lógica de negocio, llamadas a APIs y manejo de estado complejo debe estar encapsulado en Custom Hooks (React) o Servicios (Angular).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Tipado Estricto:</w:t>
      </w:r>
      <w:r w:rsidDel="00000000" w:rsidR="00000000" w:rsidRPr="00000000">
        <w:rPr>
          <w:rtl w:val="0"/>
        </w:rPr>
        <w:t xml:space="preserve"> Prohibido el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. Cada payload de API y estado local debe estar completamente tipado mediante interfaces.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Manejo de Estado:</w:t>
      </w:r>
      <w:r w:rsidDel="00000000" w:rsidR="00000000" w:rsidRPr="00000000">
        <w:rPr>
          <w:rtl w:val="0"/>
        </w:rPr>
        <w:t xml:space="preserve"> En Angular, preferir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toSignal</w:t>
      </w:r>
      <w:r w:rsidDel="00000000" w:rsidR="00000000" w:rsidRPr="00000000">
        <w:rPr>
          <w:rtl w:val="0"/>
        </w:rPr>
        <w:t xml:space="preserve"> cuando el componente necesite exponer el estado de un Observable como Signal y combinarlo con estado local.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tl w:val="0"/>
        </w:rPr>
        <w:t xml:space="preserve"> para consumos simples directamente en el template cuando no sea necesario transformar ni componer ese estado. Mantener RxJS para composición de streams, eventos o integraciones complejas donde los Observables sean la abstracción natural.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lpfcqh31cjjp" w:id="15"/>
      <w:bookmarkEnd w:id="15"/>
      <w:r w:rsidDel="00000000" w:rsidR="00000000" w:rsidRPr="00000000">
        <w:rPr>
          <w:rtl w:val="0"/>
        </w:rPr>
        <w:t xml:space="preserve">B. Especificaciones para React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Componentes Funcionales:</w:t>
      </w:r>
      <w:r w:rsidDel="00000000" w:rsidR="00000000" w:rsidRPr="00000000">
        <w:rPr>
          <w:rtl w:val="0"/>
        </w:rPr>
        <w:t xml:space="preserve"> Uso exclusivo de componentes funcionales y Hooks.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Hooks como Controladores:</w:t>
      </w:r>
      <w:r w:rsidDel="00000000" w:rsidR="00000000" w:rsidRPr="00000000">
        <w:rPr>
          <w:rtl w:val="0"/>
        </w:rPr>
        <w:t xml:space="preserve"> Cada vista compleja debe tener su correspondiente hook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useArticuloList.ts</w:t>
      </w:r>
      <w:r w:rsidDel="00000000" w:rsidR="00000000" w:rsidRPr="00000000">
        <w:rPr>
          <w:rtl w:val="0"/>
        </w:rPr>
        <w:t xml:space="preserve">) que maneje los estados de carga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</w:t>
      </w:r>
      <w:r w:rsidDel="00000000" w:rsidR="00000000" w:rsidRPr="00000000">
        <w:rPr>
          <w:rtl w:val="0"/>
        </w:rPr>
        <w:t xml:space="preserve">), error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) y los datos listados. El componente React solo los consume y renderiza.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de Carpetas: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├── components/       # Componentes atómicos y reutilizables (Botones, Inputs)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├── features/         # Módulos de negocio (ej. articulos, ventas)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│   └── articulos/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│       ├── components/    # Componentes específicos de la feature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│       ├── hooks/         # Lógica y llamadas a API (useArticulo.ts)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│       └── views/         # Páginas o pantallas contenedoras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└── services/         # Clientes de API compartidos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l4gawypigtuf" w:id="16"/>
      <w:bookmarkEnd w:id="16"/>
      <w:r w:rsidDel="00000000" w:rsidR="00000000" w:rsidRPr="00000000">
        <w:rPr>
          <w:rtl w:val="0"/>
        </w:rPr>
        <w:t xml:space="preserve">C. Especificaciones para Angular (Consideración de Coexistencia)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Componentes Standalone:</w:t>
      </w:r>
      <w:r w:rsidDel="00000000" w:rsidR="00000000" w:rsidRPr="00000000">
        <w:rPr>
          <w:rtl w:val="0"/>
        </w:rPr>
        <w:t xml:space="preserve"> Adoptar componentes Standalone para simplificar la modularidad y reducir el boilerplate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NgModule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Servicios como Orígenes de Verdad:</w:t>
      </w:r>
      <w:r w:rsidDel="00000000" w:rsidR="00000000" w:rsidRPr="00000000">
        <w:rPr>
          <w:rtl w:val="0"/>
        </w:rPr>
        <w:t xml:space="preserve"> Utilizar inyección de dependencias para proveer lógica de negocio y llamadas HTTP a través de servicios dedicados.</w:t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Estado y programación reactiva:</w:t>
      </w:r>
      <w:r w:rsidDel="00000000" w:rsidR="00000000" w:rsidRPr="00000000">
        <w:rPr>
          <w:rtl w:val="0"/>
        </w:rPr>
        <w:t xml:space="preserve"> Preferir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toSignal</w:t>
      </w:r>
      <w:r w:rsidDel="00000000" w:rsidR="00000000" w:rsidRPr="00000000">
        <w:rPr>
          <w:rtl w:val="0"/>
        </w:rPr>
        <w:t xml:space="preserve"> cuando el componente necesite exponer el estado de un Observable como Signal y combinarlo con estado local.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tl w:val="0"/>
        </w:rPr>
        <w:t xml:space="preserve"> para consumos simples directamente en el template cuando no sea necesario transformar ni componer ese estado. Mantener RxJS para composición de streams, eventos o integraciones complejas donde los Observables sean la abstracción natural.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gl7l7b3g90o7" w:id="17"/>
      <w:bookmarkEnd w:id="17"/>
      <w:r w:rsidDel="00000000" w:rsidR="00000000" w:rsidRPr="00000000">
        <w:rPr>
          <w:rtl w:val="0"/>
        </w:rPr>
        <w:t xml:space="preserve">5. Flujo de Trabajo con Git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Para garantizar la estabilidad de las aplicaciones en producción y permitir que múltiples desarrolladores colaboren de forma organizada, adoptamos un flujo de trabajo estructurado basado en ramas temporales y commits semánticos.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Ramas de Trabajo:</w:t>
      </w:r>
      <w:r w:rsidDel="00000000" w:rsidR="00000000" w:rsidRPr="00000000">
        <w:rPr>
          <w:rtl w:val="0"/>
        </w:rPr>
        <w:t xml:space="preserve"> Las features se crean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. Los hotfixes se crean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y, una vez resueltos, se revisan e integran mediante PR hacia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y, cuando corresponda, hacia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. Está prohibido commitear directamente a las ramas protegidas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Mensajes de Confirmación Semánticos:</w:t>
      </w:r>
      <w:r w:rsidDel="00000000" w:rsidR="00000000" w:rsidRPr="00000000">
        <w:rPr>
          <w:rtl w:val="0"/>
        </w:rPr>
        <w:t xml:space="preserve"> Seguimos el estándar de </w:t>
      </w:r>
      <w:r w:rsidDel="00000000" w:rsidR="00000000" w:rsidRPr="00000000">
        <w:rPr>
          <w:b w:val="1"/>
          <w:bCs w:val="1"/>
          <w:rtl w:val="0"/>
        </w:rPr>
        <w:t xml:space="preserve">Conventional Commits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refactor: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chore:</w:t>
      </w:r>
      <w:r w:rsidDel="00000000" w:rsidR="00000000" w:rsidRPr="00000000">
        <w:rPr>
          <w:rtl w:val="0"/>
        </w:rPr>
        <w:t xml:space="preserve">). Esto asegura un historial ordenado y comprensible.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Revisión por Pares (Pull Requests):</w:t>
      </w:r>
      <w:r w:rsidDel="00000000" w:rsidR="00000000" w:rsidRPr="00000000">
        <w:rPr>
          <w:rtl w:val="0"/>
        </w:rPr>
        <w:t xml:space="preserve"> Todo código integrado a las ramas protegidas debe pasar por un proceso de Pull Request y ser aprobado por al menos un par técnico antes de fusionarse.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iurgv5cvuvfd" w:id="18"/>
      <w:bookmarkEnd w:id="18"/>
      <w:r w:rsidDel="00000000" w:rsidR="00000000" w:rsidRPr="00000000">
        <w:rPr>
          <w:rtl w:val="0"/>
        </w:rPr>
        <w:t xml:space="preserve">6. Documentación Técnica y Funcional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Para garantizar el traspaso de conocimiento claro y la trazabilidad de las decisiones de negocio, toda funcionalidad desarrollada debe acompañarse de documentación estructurada: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s2qlmwhckr1h" w:id="19"/>
      <w:bookmarkEnd w:id="19"/>
      <w:r w:rsidDel="00000000" w:rsidR="00000000" w:rsidRPr="00000000">
        <w:rPr>
          <w:rtl w:val="0"/>
        </w:rPr>
        <w:t xml:space="preserve">A. Documentación Funcional (El QUÉ)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Describe las reglas de negocio, historias de usuario y requisitos de negocio, desacoplados de la implementación técnica. Utilizamos el formato </w:t>
      </w:r>
      <w:r w:rsidDel="00000000" w:rsidR="00000000" w:rsidRPr="00000000">
        <w:rPr>
          <w:b w:val="1"/>
          <w:bCs w:val="1"/>
          <w:rtl w:val="0"/>
        </w:rPr>
        <w:t xml:space="preserve">Historia de Usuario</w:t>
      </w:r>
      <w:r w:rsidDel="00000000" w:rsidR="00000000" w:rsidRPr="00000000">
        <w:rPr>
          <w:rtl w:val="0"/>
        </w:rPr>
        <w:t xml:space="preserve"> estándar con criterios de aceptación claros.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fkic3cfzp1dr" w:id="20"/>
      <w:bookmarkEnd w:id="20"/>
      <w:r w:rsidDel="00000000" w:rsidR="00000000" w:rsidRPr="00000000">
        <w:rPr>
          <w:rtl w:val="0"/>
        </w:rPr>
        <w:t xml:space="preserve">B. Documentación Técnica (El CÓMO)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Describe la arquitectura de las soluciones, modelos de datos y especificaciones de las APIs. Debe apoyarse en diagramas de Mermaid y especificaciones </w:t>
      </w:r>
      <w:r w:rsidDel="00000000" w:rsidR="00000000" w:rsidRPr="00000000">
        <w:rPr>
          <w:b w:val="1"/>
          <w:bCs w:val="1"/>
          <w:rtl w:val="0"/>
        </w:rPr>
        <w:t xml:space="preserve">OpenAPI 3.0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yh69f5a38fh4" w:id="21"/>
      <w:bookmarkEnd w:id="21"/>
      <w:r w:rsidDel="00000000" w:rsidR="00000000" w:rsidRPr="00000000">
        <w:rPr>
          <w:rtl w:val="0"/>
        </w:rPr>
        <w:t xml:space="preserve">7. Integración con la Plataforma GEM (Trazabilidad y Eventos)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Para asegurar una trazabilidad absoluta entre la definición de negocio y la ejecución técnica, integramos los flujos de trabajo con la plataforma GEM: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Cuando existe un evento o ticket GEM:</w:t>
      </w:r>
      <w:r w:rsidDel="00000000" w:rsidR="00000000" w:rsidRPr="00000000">
        <w:rPr>
          <w:rtl w:val="0"/>
        </w:rPr>
        <w:t xml:space="preserve"> La rama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</w:t>
      </w:r>
      <w:r w:rsidDel="00000000" w:rsidR="00000000" w:rsidRPr="00000000">
        <w:rPr>
          <w:rtl w:val="0"/>
        </w:rPr>
        <w:t xml:space="preserve">, los commits relevantes y la documentación funcional y técnica deben vincularse a su ID. Al finalizar, el desarrollador debe publicar en GEM el resumen del cambio con diagramas y referencias a los commits.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Cuando no existe un evento o ticket GEM:</w:t>
      </w:r>
      <w:r w:rsidDel="00000000" w:rsidR="00000000" w:rsidRPr="00000000">
        <w:rPr>
          <w:rtl w:val="0"/>
        </w:rPr>
        <w:t xml:space="preserve"> No se debe inventar un identificador. La tarea debe dejar explícita la ausencia de GEM y continuar sin agregar una referencia ficticia.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1vnomuirzwmz" w:id="22"/>
      <w:bookmarkEnd w:id="22"/>
      <w:r w:rsidDel="00000000" w:rsidR="00000000" w:rsidRPr="00000000">
        <w:rPr>
          <w:rtl w:val="0"/>
        </w:rPr>
        <w:t xml:space="preserve">8. El uso de Inteligencia Artificial (IA) en el Desarrollo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Para asegurar que el uso de asistentes de IA no degrade la calidad de nuestra base de código, todo desarrollador debe aplicar las siguientes directrices operativas: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Carga de módulos de contexto:</w:t>
      </w:r>
      <w:r w:rsidDel="00000000" w:rsidR="00000000" w:rsidRPr="00000000">
        <w:rPr>
          <w:rtl w:val="0"/>
        </w:rPr>
        <w:t xml:space="preserve"> Compartir activamente los siguientes módulos portables en el contexto del asistente según el tipo de tarea:</w:t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gaci-git-workflow.md</w:t>
      </w:r>
      <w:r w:rsidDel="00000000" w:rsidR="00000000" w:rsidRPr="00000000">
        <w:rPr>
          <w:rtl w:val="0"/>
        </w:rPr>
        <w:t xml:space="preserve">: Para estructurar ramas, mensajes de commit semánticos y trazabilidad con GEM.</w:t>
      </w:r>
    </w:p>
    <w:p w:rsidR="00000000" w:rsidDel="00000000" w:rsidP="00000000" w:rsidRDefault="00000000" w:rsidRPr="00000000" w14:paraId="0000009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gaci-nestjs-hexagonal.md</w:t>
      </w:r>
      <w:r w:rsidDel="00000000" w:rsidR="00000000" w:rsidRPr="00000000">
        <w:rPr>
          <w:rtl w:val="0"/>
        </w:rPr>
        <w:t xml:space="preserve">: Para la creación de servicios, entidades y puertos en el backend.</w:t>
      </w:r>
    </w:p>
    <w:p w:rsidR="00000000" w:rsidDel="00000000" w:rsidP="00000000" w:rsidRDefault="00000000" w:rsidRPr="00000000" w14:paraId="0000009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gaci-frontend-general.md</w:t>
      </w:r>
      <w:r w:rsidDel="00000000" w:rsidR="00000000" w:rsidRPr="00000000">
        <w:rPr>
          <w:rtl w:val="0"/>
        </w:rPr>
        <w:t xml:space="preserve">: Para los principios generales del frontend de Gaci.</w:t>
      </w:r>
    </w:p>
    <w:p w:rsidR="00000000" w:rsidDel="00000000" w:rsidP="00000000" w:rsidRDefault="00000000" w:rsidRPr="00000000" w14:paraId="0000009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gaci-react.md</w:t>
      </w:r>
      <w:r w:rsidDel="00000000" w:rsidR="00000000" w:rsidRPr="00000000">
        <w:rPr>
          <w:rtl w:val="0"/>
        </w:rPr>
        <w:t xml:space="preserve">: Para componentes, hooks y estado global (Zustand) en proyectos React.</w:t>
      </w:r>
    </w:p>
    <w:p w:rsidR="00000000" w:rsidDel="00000000" w:rsidP="00000000" w:rsidRDefault="00000000" w:rsidRPr="00000000" w14:paraId="0000009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gaci-angular.md</w:t>
      </w:r>
      <w:r w:rsidDel="00000000" w:rsidR="00000000" w:rsidRPr="00000000">
        <w:rPr>
          <w:rtl w:val="0"/>
        </w:rPr>
        <w:t xml:space="preserve">: Para componentes standalone y signals en proyectos Angular.</w:t>
      </w:r>
    </w:p>
    <w:p w:rsidR="00000000" w:rsidDel="00000000" w:rsidP="00000000" w:rsidRDefault="00000000" w:rsidRPr="00000000" w14:paraId="0000009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gaci-ui-styles.md</w:t>
      </w:r>
      <w:r w:rsidDel="00000000" w:rsidR="00000000" w:rsidRPr="00000000">
        <w:rPr>
          <w:rtl w:val="0"/>
        </w:rPr>
        <w:t xml:space="preserve">: Para maquetación responsiva y consistente basada en Tailwind CSS.</w:t>
      </w:r>
    </w:p>
    <w:p w:rsidR="00000000" w:rsidDel="00000000" w:rsidP="00000000" w:rsidRDefault="00000000" w:rsidRPr="00000000" w14:paraId="000000A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gaci-doc-functional.md</w:t>
      </w:r>
      <w:r w:rsidDel="00000000" w:rsidR="00000000" w:rsidRPr="00000000">
        <w:rPr>
          <w:rtl w:val="0"/>
        </w:rPr>
        <w:t xml:space="preserve">: Para generar historias de usuario y reglas de negocio, vinculadas a GEM cuando exista un evento o ticket.</w:t>
      </w:r>
    </w:p>
    <w:p w:rsidR="00000000" w:rsidDel="00000000" w:rsidP="00000000" w:rsidRDefault="00000000" w:rsidRPr="00000000" w14:paraId="000000A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gaci-doc-technical.md</w:t>
      </w:r>
      <w:r w:rsidDel="00000000" w:rsidR="00000000" w:rsidRPr="00000000">
        <w:rPr>
          <w:rtl w:val="0"/>
        </w:rPr>
        <w:t xml:space="preserve">: Para documentación de APIs, diagramas Mermaid y modelos de datos.</w:t>
      </w:r>
    </w:p>
    <w:p w:rsidR="00000000" w:rsidDel="00000000" w:rsidP="00000000" w:rsidRDefault="00000000" w:rsidRPr="00000000" w14:paraId="000000A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gaci-ai-usage.md</w:t>
      </w:r>
      <w:r w:rsidDel="00000000" w:rsidR="00000000" w:rsidRPr="00000000">
        <w:rPr>
          <w:rtl w:val="0"/>
        </w:rPr>
        <w:t xml:space="preserve">: Para auditoría de código generado por IA y reglas éticas del uso de copilotos.</w:t>
      </w:r>
    </w:p>
    <w:p w:rsidR="00000000" w:rsidDel="00000000" w:rsidP="00000000" w:rsidRDefault="00000000" w:rsidRPr="00000000" w14:paraId="000000A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gaci-product-discovery.md</w:t>
      </w:r>
      <w:r w:rsidDel="00000000" w:rsidR="00000000" w:rsidRPr="00000000">
        <w:rPr>
          <w:rtl w:val="0"/>
        </w:rPr>
        <w:t xml:space="preserve">: Para liderar entrevistas de producto y definir alcances (MVP) antes del desarrollo.</w:t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gaci-gx-bridge.md</w:t>
      </w:r>
      <w:r w:rsidDel="00000000" w:rsidR="00000000" w:rsidRPr="00000000">
        <w:rPr>
          <w:rtl w:val="0"/>
        </w:rPr>
        <w:t xml:space="preserve">: Para analizar código de GeneXus y generar documentación técnica moderna para migraciones.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Revisión del Código Generado:</w:t>
      </w:r>
      <w:r w:rsidDel="00000000" w:rsidR="00000000" w:rsidRPr="00000000">
        <w:rPr>
          <w:rtl w:val="0"/>
        </w:rPr>
        <w:t xml:space="preserve"> Queda terminantemente prohibido integrar código generado por IA sin haber realizado una lectura crítica línea por línea.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Aseguramiento proporcional al riesgo:</w:t>
      </w:r>
      <w:r w:rsidDel="00000000" w:rsidR="00000000" w:rsidRPr="00000000">
        <w:rPr>
          <w:rtl w:val="0"/>
        </w:rPr>
        <w:t xml:space="preserve"> Todo código asistido por IA debe validarse según su nivel de riesgo y criticidad. Cuando corresponda, deben ejecutarse pruebas unitarias que demuestren el comportamiento esperado frente a casos borde y entradas inválidas; cuando no corresponda automatizarlas, se debe documentar la evidencia alternativa y la justificación, sin omitir la validación de esos casos.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