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Latent Collapse Detection in Power Transmission Outage Data: An Empirical Validation of the PRAMA Projection Protocol</w:t>
      </w:r>
    </w:p>
    <w:p>
      <w:pPr>
        <w:spacing w:after="60"/>
        <w:jc w:val="center"/>
      </w:pPr>
      <w:r>
        <w:rPr>
          <w:rFonts w:ascii="Times New Roman" w:cs="Times New Roman" w:eastAsia="Times New Roman" w:hAnsi="Times New Roman"/>
          <w:sz w:val="22"/>
          <w:szCs w:val="22"/>
        </w:rPr>
        <w:t xml:space="preserve">G.A.C.J. — AptadynamiK Project</w:t>
      </w:r>
    </w:p>
    <w:p>
      <w:pPr>
        <w:spacing w:after="300"/>
        <w:jc w:val="center"/>
      </w:pPr>
      <w:r>
        <w:rPr>
          <w:rFonts w:ascii="Times New Roman" w:cs="Times New Roman" w:eastAsia="Times New Roman" w:hAnsi="Times New Roman"/>
          <w:i/>
          <w:iCs/>
          <w:sz w:val="20"/>
          <w:szCs w:val="20"/>
        </w:rPr>
        <w:t xml:space="preserve">Aptadynamic-VPA (Viability Power Administration) — July 2026</w:t>
      </w:r>
    </w:p>
    <w:p>
      <w:pPr>
        <w:pStyle w:val="Heading1"/>
        <w:spacing w:after="160" w:before="280"/>
      </w:pPr>
      <w:r>
        <w:rPr>
          <w:rFonts w:ascii="Times New Roman" w:cs="Times New Roman" w:eastAsia="Times New Roman" w:hAnsi="Times New Roman"/>
          <w:b/>
          <w:bCs/>
          <w:sz w:val="26"/>
          <w:szCs w:val="26"/>
        </w:rPr>
        <w:t xml:space="preserve">Abstract</w:t>
      </w:r>
    </w:p>
    <w:p>
      <w:pPr>
        <w:spacing w:after="160" w:line="300"/>
        <w:jc w:val="both"/>
      </w:pPr>
      <w:r>
        <w:rPr>
          <w:rFonts w:ascii="Times New Roman" w:cs="Times New Roman" w:eastAsia="Times New Roman" w:hAnsi="Times New Roman"/>
          <w:b w:val="false"/>
          <w:bCs w:val="false"/>
          <w:i w:val="false"/>
          <w:iCs w:val="false"/>
          <w:sz w:val="22"/>
          <w:szCs w:val="22"/>
        </w:rPr>
        <w:t xml:space="preserve">We present the first empirical validation of the aptadynamic framework through PRAMA, a domain-independent projection protocol operating exclusively on observables. Applied to 19 years of Bonneville Power Administration (BPA) automatic transmission outage records, the protocol projects outage intensity onto the aptadynamic magnitudes: instantaneous decoupling Δ(t), the non-Markovian tension accumulator Ξ(t), historical permissivity λ(t), the endogenous viability threshold Θ(λ), the viability margin M(t) = Θ(λ) − Ξ(t), and the structural generation power G(t) = D⁺M(t). We test the framework's definition of latent collapse — observable output persisting while the viability margin is consumed (M ≥ 0, G &lt; 0) — against real cascade outcomes. Latent-collapse periods discriminate the conditional severity of cascades: the probability of a large cascade (size ≥ 4) given occurrence is 4.95 times higher inside latent collapse than outside (0.092 vs 0.019, permutation p &lt; 0.001), exceeding a strictly causal Markovian baseline (3.16) and retaining a 5.1× ratio in periods where the Markovian signal is absent. Occurrence forecasting, by contrast, remains Markovian: recent intensity outperforms the projection at all horizons. A replication attempt on NYISO data yields a negative result (ratio 0.55), delimiting the protocol's applicability to domains with sufficient observable density. The two results jointly position PRAMA as a measure of viability-margin erosion — when events escalate — rather than a next-event forecaster.</w:t>
      </w:r>
    </w:p>
    <w:p>
      <w:pPr>
        <w:pStyle w:val="Heading1"/>
        <w:spacing w:after="160" w:before="280"/>
      </w:pPr>
      <w:r>
        <w:rPr>
          <w:rFonts w:ascii="Times New Roman" w:cs="Times New Roman" w:eastAsia="Times New Roman" w:hAnsi="Times New Roman"/>
          <w:b/>
          <w:bCs/>
          <w:sz w:val="26"/>
          <w:szCs w:val="26"/>
        </w:rPr>
        <w:t xml:space="preserve">1. Introduction</w:t>
      </w:r>
    </w:p>
    <w:p>
      <w:pPr>
        <w:spacing w:after="160" w:line="300"/>
        <w:jc w:val="both"/>
      </w:pPr>
      <w:r>
        <w:rPr>
          <w:rFonts w:ascii="Times New Roman" w:cs="Times New Roman" w:eastAsia="Times New Roman" w:hAnsi="Times New Roman"/>
          <w:b w:val="false"/>
          <w:bCs w:val="false"/>
          <w:i w:val="false"/>
          <w:iCs w:val="false"/>
          <w:sz w:val="22"/>
          <w:szCs w:val="22"/>
        </w:rPr>
        <w:t xml:space="preserve">Aptadynamics models the viability and structural persistence of systems subject to perturbation, historical accumulation, endogenous threshold deformation, and collapse risk. Its primary object is the trajectory, not the isolated state: viability is decided by the accumulated tension Ξ(t) against the threshold Θ(λ(t)), never by an instantaneous value of the decoupling Δ(t). The framework is irreducibly non-Markovian when the memory kernel K carries genuine memory, and it generalizes Aubin viability theory by replacing the zero-memory kernel with K(t − τ) and the fixed constraint set with an endogenous threshold Θ(λ(t)) that contracts with history.</w:t>
      </w:r>
    </w:p>
    <w:p>
      <w:pPr>
        <w:spacing w:after="160" w:line="300"/>
        <w:jc w:val="both"/>
      </w:pPr>
      <w:r>
        <w:rPr>
          <w:rFonts w:ascii="Times New Roman" w:cs="Times New Roman" w:eastAsia="Times New Roman" w:hAnsi="Times New Roman"/>
          <w:b w:val="false"/>
          <w:bCs w:val="false"/>
          <w:i w:val="false"/>
          <w:iCs w:val="false"/>
          <w:sz w:val="22"/>
          <w:szCs w:val="22"/>
        </w:rPr>
        <w:t xml:space="preserve">PRAMA (the projection protocol of the AptadynamiK project) makes a strict methodological commitment: it projects observables Ω only and never models domain internals. No mechanism of outage propagation, weather causation, or grid topology enters the projection. This commitment was reached after an earlier fiber-bundle-model (FBM) implementation was abandoned: stationarity analysis showed BPA operates in steady-state criticality, and every simulated configuration matching BPA statistics collapsed too quickly to sustain a stable window. The diagnosis was architectural — simulator collapse was an artifact, not an observable — and the correct object of the framework is projection over real data, not phenomenon simulation.</w:t>
      </w:r>
    </w:p>
    <w:p>
      <w:pPr>
        <w:spacing w:after="160" w:line="300"/>
        <w:jc w:val="both"/>
      </w:pPr>
      <w:r>
        <w:rPr>
          <w:rFonts w:ascii="Times New Roman" w:cs="Times New Roman" w:eastAsia="Times New Roman" w:hAnsi="Times New Roman"/>
          <w:b w:val="false"/>
          <w:bCs w:val="false"/>
          <w:i w:val="false"/>
          <w:iCs w:val="false"/>
          <w:sz w:val="22"/>
          <w:szCs w:val="22"/>
        </w:rPr>
        <w:t xml:space="preserve">This paper reports the resulting implementation, Aptadynamic-VPA, and its central empirical finding: the corpus definition of latent collapse identifies periods in which power-grid cascades, when they occur, escalate.</w:t>
      </w:r>
    </w:p>
    <w:p>
      <w:pPr>
        <w:pStyle w:val="Heading1"/>
        <w:spacing w:after="160" w:before="280"/>
      </w:pPr>
      <w:r>
        <w:rPr>
          <w:rFonts w:ascii="Times New Roman" w:cs="Times New Roman" w:eastAsia="Times New Roman" w:hAnsi="Times New Roman"/>
          <w:b/>
          <w:bCs/>
          <w:sz w:val="26"/>
          <w:szCs w:val="26"/>
        </w:rPr>
        <w:t xml:space="preserve">2. Framework</w:t>
      </w:r>
    </w:p>
    <w:p>
      <w:pPr>
        <w:spacing w:after="160" w:line="300"/>
        <w:jc w:val="both"/>
      </w:pPr>
      <w:r>
        <w:rPr>
          <w:rFonts w:ascii="Times New Roman" w:cs="Times New Roman" w:eastAsia="Times New Roman" w:hAnsi="Times New Roman"/>
          <w:b w:val="false"/>
          <w:bCs w:val="false"/>
          <w:i w:val="false"/>
          <w:iCs w:val="false"/>
          <w:sz w:val="22"/>
          <w:szCs w:val="22"/>
        </w:rPr>
        <w:t xml:space="preserve">Following the aptadynamic logical-mathematical corpus (axioms E1–E5 and induced definitions), the projected magnitudes are:</w:t>
      </w:r>
    </w:p>
    <w:p>
      <w:pPr>
        <w:spacing w:after="160" w:line="300"/>
        <w:jc w:val="both"/>
      </w:pPr>
      <w:r>
        <w:rPr>
          <w:rFonts w:ascii="Times New Roman" w:cs="Times New Roman" w:eastAsia="Times New Roman" w:hAnsi="Times New Roman"/>
          <w:b w:val="false"/>
          <w:bCs w:val="false"/>
          <w:i w:val="false"/>
          <w:iCs w:val="false"/>
          <w:sz w:val="22"/>
          <w:szCs w:val="22"/>
        </w:rPr>
        <w:t xml:space="preserve">Δ(t): instantaneous structural decoupling, projected here from observed automatic-outage intensity normalized by a running scale. Δ(t) = 0 indicates momentary alignment, not safety; viability is a property of the accumulated trajectory.</w:t>
      </w:r>
    </w:p>
    <w:p>
      <w:pPr>
        <w:spacing w:after="160" w:line="300"/>
        <w:jc w:val="both"/>
      </w:pPr>
      <w:r>
        <w:rPr>
          <w:rFonts w:ascii="Times New Roman" w:cs="Times New Roman" w:eastAsia="Times New Roman" w:hAnsi="Times New Roman"/>
          <w:b w:val="false"/>
          <w:bCs w:val="false"/>
          <w:i w:val="false"/>
          <w:iCs w:val="false"/>
          <w:sz w:val="22"/>
          <w:szCs w:val="22"/>
        </w:rPr>
        <w:t xml:space="preserve">Ξ(t) = ∫ K(t − τ) Δ(τ) dτ: the tension accumulator, with an exponential causal kernel of characteristic memory τ_m. Two trajectories with identical present states induce different regimes if their accumulators differ (conditioned uniqueness of regime, corpus T2).</w:t>
      </w:r>
    </w:p>
    <w:p>
      <w:pPr>
        <w:spacing w:after="160" w:line="300"/>
        <w:jc w:val="both"/>
      </w:pPr>
      <w:r>
        <w:rPr>
          <w:rFonts w:ascii="Times New Roman" w:cs="Times New Roman" w:eastAsia="Times New Roman" w:hAnsi="Times New Roman"/>
          <w:b w:val="false"/>
          <w:bCs w:val="false"/>
          <w:i w:val="false"/>
          <w:iCs w:val="false"/>
          <w:sz w:val="22"/>
          <w:szCs w:val="22"/>
        </w:rPr>
        <w:t xml:space="preserve">λ(t): historical permissivity, the remaining absorption capacity. It erodes with Ξ and recovers boundedly; recovery never erases Ξ. This implements the framework's prohibition of Markovian reincarnation: restoration must not delete memory.</w:t>
      </w:r>
    </w:p>
    <w:p>
      <w:pPr>
        <w:spacing w:after="160" w:line="300"/>
        <w:jc w:val="both"/>
      </w:pPr>
      <w:r>
        <w:rPr>
          <w:rFonts w:ascii="Times New Roman" w:cs="Times New Roman" w:eastAsia="Times New Roman" w:hAnsi="Times New Roman"/>
          <w:b w:val="false"/>
          <w:bCs w:val="false"/>
          <w:i w:val="false"/>
          <w:iCs w:val="false"/>
          <w:sz w:val="22"/>
          <w:szCs w:val="22"/>
        </w:rPr>
        <w:t xml:space="preserve">Θ(λ): the endogenous viability threshold, strictly increasing in λ and therefore contractive with accumulated history. The central autocatalytic loop of the corpus — Ξ rises, Θ contracts, excess grows — is preserved.</w:t>
      </w:r>
    </w:p>
    <w:p>
      <w:pPr>
        <w:spacing w:after="160" w:line="300"/>
        <w:jc w:val="both"/>
      </w:pPr>
      <w:r>
        <w:rPr>
          <w:rFonts w:ascii="Times New Roman" w:cs="Times New Roman" w:eastAsia="Times New Roman" w:hAnsi="Times New Roman"/>
          <w:b w:val="false"/>
          <w:bCs w:val="false"/>
          <w:i w:val="false"/>
          <w:iCs w:val="false"/>
          <w:sz w:val="22"/>
          <w:szCs w:val="22"/>
        </w:rPr>
        <w:t xml:space="preserve">M(t) = Θ(λ(t)) − Ξ(t): the dynamic viability margin. G(t) = D⁺M(t): the structural generation power (corpus Definition 10). G &gt; 0 indicates margin regeneration; G &lt; 0 indicates margin consumption.</w:t>
      </w:r>
    </w:p>
    <w:p>
      <w:pPr>
        <w:spacing w:after="160" w:line="300"/>
        <w:jc w:val="both"/>
      </w:pPr>
      <w:r>
        <w:rPr>
          <w:rFonts w:ascii="Times New Roman" w:cs="Times New Roman" w:eastAsia="Times New Roman" w:hAnsi="Times New Roman"/>
          <w:b w:val="false"/>
          <w:bCs w:val="false"/>
          <w:i w:val="false"/>
          <w:iCs w:val="false"/>
          <w:sz w:val="22"/>
          <w:szCs w:val="22"/>
        </w:rPr>
        <w:t xml:space="preserve">Latent collapse (corpus Definition 11): the system preserves observable signs of operation, O(t) &gt; 0, while M(t) ≥ 0 and G(t) &lt; 0. The system appears operative, but its continuity depends on reserves and inertia, not structural regeneration. The associated Proposition 4 (imitation of invariance) states that apparent conservation of observable organization under G &lt; 0 does not imply aptadynamic persistence. This is the definition tested empirically here.</w:t>
      </w:r>
    </w:p>
    <w:p>
      <w:pPr>
        <w:spacing w:after="160" w:line="300"/>
        <w:jc w:val="both"/>
      </w:pPr>
      <w:r>
        <w:rPr>
          <w:rFonts w:ascii="Times New Roman" w:cs="Times New Roman" w:eastAsia="Times New Roman" w:hAnsi="Times New Roman"/>
          <w:b w:val="false"/>
          <w:bCs w:val="false"/>
          <w:i w:val="false"/>
          <w:iCs w:val="false"/>
          <w:sz w:val="22"/>
          <w:szCs w:val="22"/>
        </w:rPr>
        <w:t xml:space="preserve">Regimes are stratified on the (M, G) plane: S₁ viable (M &gt; 0, G ≥ 0), S₂ tension (M &gt; 0, G &lt; 0), S₃ critical (M ≤ 0, G ≥ 0), S₄ collapse (M ≤ 0, G &lt; 0). Stratification is a partition of the margin–power geometry, not rectangular cuts on raw observables.</w:t>
      </w:r>
    </w:p>
    <w:p>
      <w:pPr>
        <w:pStyle w:val="Heading1"/>
        <w:spacing w:after="160" w:before="280"/>
      </w:pPr>
      <w:r>
        <w:rPr>
          <w:rFonts w:ascii="Times New Roman" w:cs="Times New Roman" w:eastAsia="Times New Roman" w:hAnsi="Times New Roman"/>
          <w:b/>
          <w:bCs/>
          <w:sz w:val="26"/>
          <w:szCs w:val="26"/>
        </w:rPr>
        <w:t xml:space="preserve">3. Data</w:t>
      </w:r>
    </w:p>
    <w:p>
      <w:pPr>
        <w:spacing w:after="160" w:line="300"/>
        <w:jc w:val="both"/>
      </w:pPr>
      <w:r>
        <w:rPr>
          <w:rFonts w:ascii="Times New Roman" w:cs="Times New Roman" w:eastAsia="Times New Roman" w:hAnsi="Times New Roman"/>
          <w:b w:val="false"/>
          <w:bCs w:val="false"/>
          <w:i w:val="false"/>
          <w:iCs w:val="false"/>
          <w:sz w:val="22"/>
          <w:szCs w:val="22"/>
        </w:rPr>
        <w:t xml:space="preserve">Primary dataset: cleaned BPA automatic transmission outage records, 1999–2017, provided by Ian Dobson (Iowa State University), with cleaning documented in the accompanying Mathematica notebook. Only automatic outages are retained; planned outages are excluded as they carry no stress signal. Cascades are grouped by the standard 1-hour gap criterion. Bus names are anonymized by hash in every output of the pipeline.</w:t>
      </w:r>
    </w:p>
    <w:p>
      <w:pPr>
        <w:spacing w:after="160" w:line="300"/>
        <w:jc w:val="both"/>
      </w:pPr>
      <w:r>
        <w:rPr>
          <w:rFonts w:ascii="Times New Roman" w:cs="Times New Roman" w:eastAsia="Times New Roman" w:hAnsi="Times New Roman"/>
          <w:b w:val="false"/>
          <w:bCs w:val="false"/>
          <w:i w:val="false"/>
          <w:iCs w:val="false"/>
          <w:sz w:val="22"/>
          <w:szCs w:val="22"/>
        </w:rPr>
        <w:t xml:space="preserve">Two caveats accompany the data and are inherited by this analysis. First, the BPA record includes, and may be dominated by, weather directly causing outages; the proportion of cascading versus weather-driven events is unknown. PRAMA's mechanism-agnostic projection makes no attempt to separate them. Second, per BPA's request: the analysis and any conclusions are strictly those of the authors and not of Bonneville Power Administration.</w:t>
      </w:r>
    </w:p>
    <w:p>
      <w:pPr>
        <w:spacing w:after="160" w:line="300"/>
        <w:jc w:val="both"/>
      </w:pPr>
      <w:r>
        <w:rPr>
          <w:rFonts w:ascii="Times New Roman" w:cs="Times New Roman" w:eastAsia="Times New Roman" w:hAnsi="Times New Roman"/>
          <w:b w:val="false"/>
          <w:bCs w:val="false"/>
          <w:i w:val="false"/>
          <w:iCs w:val="false"/>
          <w:sz w:val="22"/>
          <w:szCs w:val="22"/>
        </w:rPr>
        <w:t xml:space="preserve">Replication dataset: NYISO forced transmission outages, 2008–2021 (9,600 events after filtering), a sparser and lower-quality record with censored durations.</w:t>
      </w:r>
    </w:p>
    <w:p>
      <w:pPr>
        <w:pStyle w:val="Heading1"/>
        <w:spacing w:after="160" w:before="280"/>
      </w:pPr>
      <w:r>
        <w:rPr>
          <w:rFonts w:ascii="Times New Roman" w:cs="Times New Roman" w:eastAsia="Times New Roman" w:hAnsi="Times New Roman"/>
          <w:b/>
          <w:bCs/>
          <w:sz w:val="26"/>
          <w:szCs w:val="26"/>
        </w:rPr>
        <w:t xml:space="preserve">4. Methods</w:t>
      </w:r>
    </w:p>
    <w:p>
      <w:pPr>
        <w:pStyle w:val="Heading2"/>
        <w:spacing w:after="120" w:before="220"/>
      </w:pPr>
      <w:r>
        <w:rPr>
          <w:rFonts w:ascii="Times New Roman" w:cs="Times New Roman" w:eastAsia="Times New Roman" w:hAnsi="Times New Roman"/>
          <w:b/>
          <w:bCs/>
          <w:sz w:val="24"/>
          <w:szCs w:val="24"/>
        </w:rPr>
        <w:t xml:space="preserve">4.1 Pipeline</w:t>
      </w:r>
    </w:p>
    <w:p>
      <w:pPr>
        <w:spacing w:after="160" w:line="300"/>
        <w:jc w:val="both"/>
      </w:pPr>
      <w:r>
        <w:rPr>
          <w:rFonts w:ascii="Times New Roman" w:cs="Times New Roman" w:eastAsia="Times New Roman" w:hAnsi="Times New Roman"/>
          <w:b w:val="false"/>
          <w:bCs w:val="false"/>
          <w:i w:val="false"/>
          <w:iCs w:val="false"/>
          <w:sz w:val="22"/>
          <w:szCs w:val="22"/>
        </w:rPr>
        <w:t xml:space="preserve">Four modules: ingest (records → canonical anonymized events), omega (events → observables: hourly intensity, concurrent load, weighted severity; cascade grouping), projection (Ω → Δ, Ξ, λ, Θ, M, G, stratification, latent-collapse flag), validation (tests against real cascade outcomes). Zipf exponent α and Hurst H are treated as properties of the data used for external consistency checks — never as calibration targets. The loss hierarchy and all structural principles of the framework were held fixed throughout; no parameter was tuned to a desired conclusion.</w:t>
      </w:r>
    </w:p>
    <w:p>
      <w:pPr>
        <w:pStyle w:val="Heading2"/>
        <w:spacing w:after="120" w:before="220"/>
      </w:pPr>
      <w:r>
        <w:rPr>
          <w:rFonts w:ascii="Times New Roman" w:cs="Times New Roman" w:eastAsia="Times New Roman" w:hAnsi="Times New Roman"/>
          <w:b/>
          <w:bCs/>
          <w:sz w:val="24"/>
          <w:szCs w:val="24"/>
        </w:rPr>
        <w:t xml:space="preserve">4.2 Driver selection</w:t>
      </w:r>
    </w:p>
    <w:p>
      <w:pPr>
        <w:spacing w:after="160" w:line="300"/>
        <w:jc w:val="both"/>
      </w:pPr>
      <w:r>
        <w:rPr>
          <w:rFonts w:ascii="Times New Roman" w:cs="Times New Roman" w:eastAsia="Times New Roman" w:hAnsi="Times New Roman"/>
          <w:b w:val="false"/>
          <w:bCs w:val="false"/>
          <w:i w:val="false"/>
          <w:iCs w:val="false"/>
          <w:sz w:val="22"/>
          <w:szCs w:val="22"/>
        </w:rPr>
        <w:t xml:space="preserve">Three candidate drivers for Δ were compared by precursor enrichment of large cascades with a circular-rotation permutation test (200 rotations, preserving stratum autocorrelation): intensity (enrichment 1.90, p &lt; 0.005), concurrent load (1.65, p &lt; 0.005), and weighted severity (1.60, p = 0.145). Intensity was fixed as the canonical driver; memory τ_m = 168 h was selected by sweep.</w:t>
      </w:r>
    </w:p>
    <w:p>
      <w:pPr>
        <w:pStyle w:val="Heading2"/>
        <w:spacing w:after="120" w:before="220"/>
      </w:pPr>
      <w:r>
        <w:rPr>
          <w:rFonts w:ascii="Times New Roman" w:cs="Times New Roman" w:eastAsia="Times New Roman" w:hAnsi="Times New Roman"/>
          <w:b/>
          <w:bCs/>
          <w:sz w:val="24"/>
          <w:szCs w:val="24"/>
        </w:rPr>
        <w:t xml:space="preserve">4.3 Baselines and causality</w:t>
      </w:r>
    </w:p>
    <w:p>
      <w:pPr>
        <w:spacing w:after="160" w:line="300"/>
        <w:jc w:val="both"/>
      </w:pPr>
      <w:r>
        <w:rPr>
          <w:rFonts w:ascii="Times New Roman" w:cs="Times New Roman" w:eastAsia="Times New Roman" w:hAnsi="Times New Roman"/>
          <w:b w:val="false"/>
          <w:bCs w:val="false"/>
          <w:i w:val="false"/>
          <w:iCs w:val="false"/>
          <w:sz w:val="22"/>
          <w:szCs w:val="22"/>
        </w:rPr>
        <w:t xml:space="preserve">The Markovian baseline flags alert when the trailing mean of intensity exceeds a quantile threshold chosen so that its alert budget equals the fraction of time PRAMA spends in S₂ ∪ S₄. An initial version of this baseline used a centered window, leaking future information; all reported comparisons use the corrected, strictly causal trailing form (rolling mean shifted by one bin). The PRAMA projection contains no such leak by construction: Ξ, λ, M, and G are causal functionals of the past.</w:t>
      </w:r>
    </w:p>
    <w:p>
      <w:pPr>
        <w:pStyle w:val="Heading2"/>
        <w:spacing w:after="120" w:before="220"/>
      </w:pPr>
      <w:r>
        <w:rPr>
          <w:rFonts w:ascii="Times New Roman" w:cs="Times New Roman" w:eastAsia="Times New Roman" w:hAnsi="Times New Roman"/>
          <w:b/>
          <w:bCs/>
          <w:sz w:val="24"/>
          <w:szCs w:val="24"/>
        </w:rPr>
        <w:t xml:space="preserve">4.4 Tests</w:t>
      </w:r>
    </w:p>
    <w:p>
      <w:pPr>
        <w:spacing w:after="160" w:line="300"/>
        <w:jc w:val="both"/>
      </w:pPr>
      <w:r>
        <w:rPr>
          <w:rFonts w:ascii="Times New Roman" w:cs="Times New Roman" w:eastAsia="Times New Roman" w:hAnsi="Times New Roman"/>
          <w:b w:val="false"/>
          <w:bCs w:val="false"/>
          <w:i w:val="false"/>
          <w:iCs w:val="false"/>
          <w:sz w:val="22"/>
          <w:szCs w:val="22"/>
        </w:rPr>
        <w:t xml:space="preserve">(i) Occurrence: enrichment of large-cascade onset (99th percentile of size) by prior S₂ ∪ S₄ occupancy across horizons of 6–48 h, versus the causal Markovian baseline at equal alert budget. (ii) Conditional severity: P(size ≥ 4 | cascade occurs) inside versus outside latent collapse, with label-shuffle significance (1,000 permutations). (iii) Independence: the same probability partitioned over the four intersections of the latent flag and the Markovian alert.</w:t>
      </w:r>
    </w:p>
    <w:p>
      <w:pPr>
        <w:pStyle w:val="Heading1"/>
        <w:spacing w:after="160" w:before="280"/>
      </w:pPr>
      <w:r>
        <w:rPr>
          <w:rFonts w:ascii="Times New Roman" w:cs="Times New Roman" w:eastAsia="Times New Roman" w:hAnsi="Times New Roman"/>
          <w:b/>
          <w:bCs/>
          <w:sz w:val="26"/>
          <w:szCs w:val="26"/>
        </w:rPr>
        <w:t xml:space="preserve">5. Results</w:t>
      </w:r>
    </w:p>
    <w:p>
      <w:pPr>
        <w:pStyle w:val="Heading2"/>
        <w:spacing w:after="120" w:before="220"/>
      </w:pPr>
      <w:r>
        <w:rPr>
          <w:rFonts w:ascii="Times New Roman" w:cs="Times New Roman" w:eastAsia="Times New Roman" w:hAnsi="Times New Roman"/>
          <w:b/>
          <w:bCs/>
          <w:sz w:val="24"/>
          <w:szCs w:val="24"/>
        </w:rPr>
        <w:t xml:space="preserve">5.1 External consistency</w:t>
      </w:r>
    </w:p>
    <w:p>
      <w:pPr>
        <w:spacing w:after="160" w:line="300"/>
        <w:jc w:val="both"/>
      </w:pPr>
      <w:r>
        <w:rPr>
          <w:rFonts w:ascii="Times New Roman" w:cs="Times New Roman" w:eastAsia="Times New Roman" w:hAnsi="Times New Roman"/>
          <w:b w:val="false"/>
          <w:bCs w:val="false"/>
          <w:i w:val="false"/>
          <w:iCs w:val="false"/>
          <w:sz w:val="22"/>
          <w:szCs w:val="22"/>
        </w:rPr>
        <w:t xml:space="preserve">The Zipf exponent of BPA cascade sizes obtained by the pipeline is α = 2.99, consistent with the published reference of approximately 2.87 for this dataset. This validates ingestion and cascade grouping without entering any calibration loop.</w:t>
      </w:r>
    </w:p>
    <w:p>
      <w:pPr>
        <w:pStyle w:val="Heading2"/>
        <w:spacing w:after="120" w:before="220"/>
      </w:pPr>
      <w:r>
        <w:rPr>
          <w:rFonts w:ascii="Times New Roman" w:cs="Times New Roman" w:eastAsia="Times New Roman" w:hAnsi="Times New Roman"/>
          <w:b/>
          <w:bCs/>
          <w:sz w:val="24"/>
          <w:szCs w:val="24"/>
        </w:rPr>
        <w:t xml:space="preserve">5.2 Occurrence forecasting is Markovian</w:t>
      </w:r>
    </w:p>
    <w:p>
      <w:pPr>
        <w:spacing w:after="160" w:line="300"/>
        <w:jc w:val="both"/>
      </w:pPr>
      <w:r>
        <w:rPr>
          <w:rFonts w:ascii="Times New Roman" w:cs="Times New Roman" w:eastAsia="Times New Roman" w:hAnsi="Times New Roman"/>
          <w:b w:val="false"/>
          <w:bCs w:val="false"/>
          <w:i w:val="false"/>
          <w:iCs w:val="false"/>
          <w:sz w:val="22"/>
          <w:szCs w:val="22"/>
        </w:rPr>
        <w:t xml:space="preserve">Table 1 shows precursor enrichment for large-cascade occurrence. The causal Markovian baseline outperforms the aptadynamic stratification at every horizon and every memory scale tested (τ_m from 12 h to 720 h). Short-horizon occurrence in BPA is driven by exogenous forcing without structural memory — consistent with the weather-dominance caveat — and Ξ does not compete on this task.</w:t>
      </w:r>
    </w:p>
    <w:tbl>
      <w:tblPr>
        <w:tblW w:type="auto" w:w="100"/>
        <w:tblBorders>
          <w:top w:val="single" w:sz="4"/>
          <w:left w:val="none"/>
          <w:bottom w:val="single" w:sz="4"/>
          <w:right w:val="none"/>
          <w:insideH w:val="single" w:sz="2"/>
          <w:insideV w:val="none"/>
        </w:tblBorders>
      </w:tblPr>
      <w:tblGrid>
        <w:gridCol w:w="2400"/>
        <w:gridCol w:w="2400"/>
        <w:gridCol w:w="2400"/>
        <w:gridCol w:w="2400"/>
      </w:tblGrid>
      <w:tr>
        <w:tc>
          <w:tcPr>
            <w:tcW w:type="dxa" w:w="2400"/>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Horizon (h)</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PRAMA S2∪S4</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Markovian baseline</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Permutation p (PRAMA)</w:t>
            </w:r>
          </w:p>
        </w:tc>
      </w:tr>
      <w:tr>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1.96</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2.67</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1.90</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2.56</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&lt;0.005</w:t>
            </w:r>
          </w:p>
        </w:tc>
      </w:tr>
      <w:tr>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1.66</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2.45</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48</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1.57</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1.91</w:t>
            </w:r>
          </w:p>
        </w:tc>
        <w:tc>
          <w:tcPr>
            <w:tcW w:type="dxa" w:w="24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bl>
    <w:p>
      <w:pPr>
        <w:spacing w:after="160" w:line="300"/>
        <w:jc w:val="center"/>
      </w:pPr>
      <w:r>
        <w:rPr>
          <w:rFonts w:ascii="Times New Roman" w:cs="Times New Roman" w:eastAsia="Times New Roman" w:hAnsi="Times New Roman"/>
          <w:b w:val="false"/>
          <w:bCs w:val="false"/>
          <w:i/>
          <w:iCs/>
          <w:sz w:val="22"/>
          <w:szCs w:val="22"/>
        </w:rPr>
        <w:t xml:space="preserve">Table 1. Enrichment of large-cascade occurrence (99th percentile) by prior alert state, equal alert budget. τ_m = 168 h.</w:t>
      </w:r>
    </w:p>
    <w:p>
      <w:pPr>
        <w:pStyle w:val="Heading2"/>
        <w:spacing w:after="120" w:before="220"/>
      </w:pPr>
      <w:r>
        <w:rPr>
          <w:rFonts w:ascii="Times New Roman" w:cs="Times New Roman" w:eastAsia="Times New Roman" w:hAnsi="Times New Roman"/>
          <w:b/>
          <w:bCs/>
          <w:sz w:val="24"/>
          <w:szCs w:val="24"/>
        </w:rPr>
        <w:t xml:space="preserve">5.3 Latent collapse discriminates conditional severity</w:t>
      </w:r>
    </w:p>
    <w:p>
      <w:pPr>
        <w:spacing w:after="160" w:line="300"/>
        <w:jc w:val="both"/>
      </w:pPr>
      <w:r>
        <w:rPr>
          <w:rFonts w:ascii="Times New Roman" w:cs="Times New Roman" w:eastAsia="Times New Roman" w:hAnsi="Times New Roman"/>
          <w:b w:val="false"/>
          <w:bCs w:val="false"/>
          <w:i w:val="false"/>
          <w:iCs w:val="false"/>
          <w:sz w:val="22"/>
          <w:szCs w:val="22"/>
        </w:rPr>
        <w:t xml:space="preserve">Table 2 shows the central result. Given that a cascade occurs, the probability that it is large (size ≥ 4) is 4.95 times higher when its onset falls within a latent-collapse period (M ≥ 0, G &lt; 0, O &gt; 0) than outside (0.092 vs 0.019; mean size 1.87 vs 1.25; label-shuffle p &lt; 0.001; null 95th percentile of the ratio: 1.15). The causal Markovian alert achieves 3.16 on the same metric at equal budget.</w:t>
      </w:r>
    </w:p>
    <w:tbl>
      <w:tblPr>
        <w:tblW w:type="auto" w:w="100"/>
        <w:tblBorders>
          <w:top w:val="single" w:sz="4"/>
          <w:left w:val="none"/>
          <w:bottom w:val="single" w:sz="4"/>
          <w:right w:val="none"/>
          <w:insideH w:val="single" w:sz="2"/>
          <w:insideV w:val="none"/>
        </w:tblBorders>
      </w:tblPr>
      <w:tblGrid>
        <w:gridCol w:w="3200"/>
        <w:gridCol w:w="2200"/>
        <w:gridCol w:w="2200"/>
        <w:gridCol w:w="2000"/>
      </w:tblGrid>
      <w:tr>
        <w:tc>
          <w:tcPr>
            <w:tcW w:type="dxa" w:w="3200"/>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Condition</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 cascades</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P(size ≥ 4)</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Ratio</w:t>
            </w:r>
          </w:p>
        </w:tc>
      </w:tr>
      <w:tr>
        <w:tc>
          <w:tcPr>
            <w:tcW w:type="dxa" w:w="3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Latent collapse</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5,349</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0.092</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4.95</w:t>
            </w:r>
          </w:p>
        </w:tc>
      </w:tr>
      <w:tr>
        <w:tc>
          <w:tcPr>
            <w:tcW w:type="dxa" w:w="3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Outside latent collapse</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3,379</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0.019</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3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Markovian alert (causal)</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0.175 vs 0.055</w:t>
            </w:r>
          </w:p>
        </w:tc>
        <w:tc>
          <w:tcPr>
            <w:tcW w:type="dxa" w:w="20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3.16</w:t>
            </w:r>
          </w:p>
        </w:tc>
      </w:tr>
    </w:tbl>
    <w:p>
      <w:pPr>
        <w:spacing w:after="160" w:line="300"/>
        <w:jc w:val="center"/>
      </w:pPr>
      <w:r>
        <w:rPr>
          <w:rFonts w:ascii="Times New Roman" w:cs="Times New Roman" w:eastAsia="Times New Roman" w:hAnsi="Times New Roman"/>
          <w:b w:val="false"/>
          <w:bCs w:val="false"/>
          <w:i/>
          <w:iCs/>
          <w:sz w:val="22"/>
          <w:szCs w:val="22"/>
        </w:rPr>
        <w:t xml:space="preserve">Table 2. Conditional severity of cascades by latent-collapse state, BPA 1999–2017.</w:t>
      </w:r>
    </w:p>
    <w:p>
      <w:pPr>
        <w:pStyle w:val="Heading2"/>
        <w:spacing w:after="120" w:before="220"/>
      </w:pPr>
      <w:r>
        <w:rPr>
          <w:rFonts w:ascii="Times New Roman" w:cs="Times New Roman" w:eastAsia="Times New Roman" w:hAnsi="Times New Roman"/>
          <w:b/>
          <w:bCs/>
          <w:sz w:val="24"/>
          <w:szCs w:val="24"/>
        </w:rPr>
        <w:t xml:space="preserve">5.4 The latent signal is independent of recent intensity</w:t>
      </w:r>
    </w:p>
    <w:p>
      <w:pPr>
        <w:spacing w:after="160" w:line="300"/>
        <w:jc w:val="both"/>
      </w:pPr>
      <w:r>
        <w:rPr>
          <w:rFonts w:ascii="Times New Roman" w:cs="Times New Roman" w:eastAsia="Times New Roman" w:hAnsi="Times New Roman"/>
          <w:b w:val="false"/>
          <w:bCs w:val="false"/>
          <w:i w:val="false"/>
          <w:iCs w:val="false"/>
          <w:sz w:val="22"/>
          <w:szCs w:val="22"/>
        </w:rPr>
        <w:t xml:space="preserve">Table 3 partitions cascades by the intersection of the two signals. In periods flagged by latent collapse but not by the Markovian alert — 4,793 cascades, the bulk of the latent set — P(size ≥ 4) is 0.082, against 0.016 where neither signal is present: a 5.1× ratio with the trivial signal absent. Latent collapse is therefore not a proxy for recent intensity; it carries information about margin erosion that no trailing-intensity statistic contains.</w:t>
      </w:r>
    </w:p>
    <w:tbl>
      <w:tblPr>
        <w:tblW w:type="auto" w:w="100"/>
        <w:tblBorders>
          <w:top w:val="single" w:sz="4"/>
          <w:left w:val="none"/>
          <w:bottom w:val="single" w:sz="4"/>
          <w:right w:val="none"/>
          <w:insideH w:val="single" w:sz="2"/>
          <w:insideV w:val="none"/>
        </w:tblBorders>
      </w:tblPr>
      <w:tblGrid>
        <w:gridCol w:w="3200"/>
        <w:gridCol w:w="2200"/>
        <w:gridCol w:w="2600"/>
      </w:tblGrid>
      <w:tr>
        <w:tc>
          <w:tcPr>
            <w:tcW w:type="dxa" w:w="3200"/>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Partition</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 cascades</w:t>
            </w:r>
          </w:p>
        </w:tc>
        <w:tc>
          <w:tcPr>
            <w:tcW w:type="dxa" w:w="2600"/>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P(size ≥ 4)</w:t>
            </w:r>
          </w:p>
        </w:tc>
      </w:tr>
      <w:tr>
        <w:tc>
          <w:tcPr>
            <w:tcW w:type="dxa" w:w="3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Latent ∧ Markovian alert</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556</w:t>
            </w:r>
          </w:p>
        </w:tc>
        <w:tc>
          <w:tcPr>
            <w:tcW w:type="dxa" w:w="26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0.178</w:t>
            </w:r>
          </w:p>
        </w:tc>
      </w:tr>
      <w:tr>
        <w:tc>
          <w:tcPr>
            <w:tcW w:type="dxa" w:w="3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Latent only</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4,793</w:t>
            </w:r>
          </w:p>
        </w:tc>
        <w:tc>
          <w:tcPr>
            <w:tcW w:type="dxa" w:w="26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0.082</w:t>
            </w:r>
          </w:p>
        </w:tc>
      </w:tr>
      <w:tr>
        <w:tc>
          <w:tcPr>
            <w:tcW w:type="dxa" w:w="3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Markovian alert only</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74</w:t>
            </w:r>
          </w:p>
        </w:tc>
        <w:tc>
          <w:tcPr>
            <w:tcW w:type="dxa" w:w="26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0.149</w:t>
            </w:r>
          </w:p>
        </w:tc>
      </w:tr>
      <w:tr>
        <w:tc>
          <w:tcPr>
            <w:tcW w:type="dxa" w:w="3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Neither</w:t>
            </w:r>
          </w:p>
        </w:tc>
        <w:tc>
          <w:tcPr>
            <w:tcW w:type="dxa" w:w="22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3,305</w:t>
            </w:r>
          </w:p>
        </w:tc>
        <w:tc>
          <w:tcPr>
            <w:tcW w:type="dxa" w:w="2600"/>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0.016</w:t>
            </w:r>
          </w:p>
        </w:tc>
      </w:tr>
    </w:tbl>
    <w:p>
      <w:pPr>
        <w:spacing w:after="160" w:line="300"/>
        <w:jc w:val="center"/>
      </w:pPr>
      <w:r>
        <w:rPr>
          <w:rFonts w:ascii="Times New Roman" w:cs="Times New Roman" w:eastAsia="Times New Roman" w:hAnsi="Times New Roman"/>
          <w:b w:val="false"/>
          <w:bCs w:val="false"/>
          <w:i/>
          <w:iCs/>
          <w:sz w:val="22"/>
          <w:szCs w:val="22"/>
        </w:rPr>
        <w:t xml:space="preserve">Table 3. Independence partition, BPA.</w:t>
      </w:r>
    </w:p>
    <w:p>
      <w:pPr>
        <w:pStyle w:val="Heading2"/>
        <w:spacing w:after="120" w:before="220"/>
      </w:pPr>
      <w:r>
        <w:rPr>
          <w:rFonts w:ascii="Times New Roman" w:cs="Times New Roman" w:eastAsia="Times New Roman" w:hAnsi="Times New Roman"/>
          <w:b/>
          <w:bCs/>
          <w:sz w:val="24"/>
          <w:szCs w:val="24"/>
        </w:rPr>
        <w:t xml:space="preserve">5.5 Negative replication on NYISO</w:t>
      </w:r>
    </w:p>
    <w:p>
      <w:pPr>
        <w:spacing w:after="160" w:line="300"/>
        <w:jc w:val="both"/>
      </w:pPr>
      <w:r>
        <w:rPr>
          <w:rFonts w:ascii="Times New Roman" w:cs="Times New Roman" w:eastAsia="Times New Roman" w:hAnsi="Times New Roman"/>
          <w:b w:val="false"/>
          <w:bCs w:val="false"/>
          <w:i w:val="false"/>
          <w:iCs w:val="false"/>
          <w:sz w:val="22"/>
          <w:szCs w:val="22"/>
        </w:rPr>
        <w:t xml:space="preserve">On NYISO forced outages the latent-collapse discrimination fails: the severity ratio is 0.55 (inverted) at both weekly and monthly memory, with correct filtering verified (9,600 automatic events). At approximately two forced events per day, the observable stream is too sparse for Ξ to accumulate informative tension; the latent flag degenerates to baseline noise. The negative result delimits applicability: the projection requires a minimum observable density, and censored-duration, lower-quality records further degrade the signal.</w:t>
      </w:r>
    </w:p>
    <w:p>
      <w:pPr>
        <w:pStyle w:val="Heading1"/>
        <w:spacing w:after="160" w:before="280"/>
      </w:pPr>
      <w:r>
        <w:rPr>
          <w:rFonts w:ascii="Times New Roman" w:cs="Times New Roman" w:eastAsia="Times New Roman" w:hAnsi="Times New Roman"/>
          <w:b/>
          <w:bCs/>
          <w:sz w:val="26"/>
          <w:szCs w:val="26"/>
        </w:rPr>
        <w:t xml:space="preserve">6. Discussion</w:t>
      </w:r>
    </w:p>
    <w:p>
      <w:pPr>
        <w:spacing w:after="160" w:line="300"/>
        <w:jc w:val="both"/>
      </w:pPr>
      <w:r>
        <w:rPr>
          <w:rFonts w:ascii="Times New Roman" w:cs="Times New Roman" w:eastAsia="Times New Roman" w:hAnsi="Times New Roman"/>
          <w:b w:val="false"/>
          <w:bCs w:val="false"/>
          <w:i w:val="false"/>
          <w:iCs w:val="false"/>
          <w:sz w:val="22"/>
          <w:szCs w:val="22"/>
        </w:rPr>
        <w:t xml:space="preserve">The joint pattern — Markovian dominance on occurrence, aptadynamic dominance on conditional severity with independent contribution — supports a precise reading of what PRAMA measures. Recent intensity predicts that events will happen; the latent-collapse condition identifies when events escalate. This is exactly the corpus's claim about latent collapse: a system consuming its viability margin can look operationally normal (imitation of invariance, Proposition 4) while its capacity to absorb the next perturbation without amplification has eroded. That erosion is invisible to any statistic of recent event counts, and Table 3 shows it empirically.</w:t>
      </w:r>
    </w:p>
    <w:p>
      <w:pPr>
        <w:spacing w:after="160" w:line="300"/>
        <w:jc w:val="both"/>
      </w:pPr>
      <w:r>
        <w:rPr>
          <w:rFonts w:ascii="Times New Roman" w:cs="Times New Roman" w:eastAsia="Times New Roman" w:hAnsi="Times New Roman"/>
          <w:b w:val="false"/>
          <w:bCs w:val="false"/>
          <w:i w:val="false"/>
          <w:iCs w:val="false"/>
          <w:sz w:val="22"/>
          <w:szCs w:val="22"/>
        </w:rPr>
        <w:t xml:space="preserve">Three points of discipline deserve record. First, no parameter was returned to earlier values or re-tuned after unfavorable results; the negative occurrence result and the NYISO failure are reported as found. Second, a future-leaking baseline discovered mid-analysis was corrected before any comparison was retained. Third, α and H remained external references throughout — the projection was never fit to reproduce them, which makes the α = 2.99 agreement a genuine consistency check rather than an achievement of calibration.</w:t>
      </w:r>
    </w:p>
    <w:p>
      <w:pPr>
        <w:spacing w:after="160" w:line="300"/>
        <w:jc w:val="both"/>
      </w:pPr>
      <w:r>
        <w:rPr>
          <w:rFonts w:ascii="Times New Roman" w:cs="Times New Roman" w:eastAsia="Times New Roman" w:hAnsi="Times New Roman"/>
          <w:b w:val="false"/>
          <w:bCs w:val="false"/>
          <w:i w:val="false"/>
          <w:iCs w:val="false"/>
          <w:sz w:val="22"/>
          <w:szCs w:val="22"/>
        </w:rPr>
        <w:t xml:space="preserve">Limitations. The BPA record's unknown weather/cascading composition means the severity discrimination cannot be attributed to any specific propagation mechanism — by design, PRAMA makes no such attribution. The stratification thresholds and kernel form are simple first realizations; the canonical expression of the memory functional remains an open zone of the framework. The NYISO negative result may reflect data quality as much as observable density; a second dense domain is needed to separate the two.</w:t>
      </w:r>
    </w:p>
    <w:p>
      <w:pPr>
        <w:spacing w:after="160" w:line="300"/>
        <w:jc w:val="both"/>
      </w:pPr>
      <w:r>
        <w:rPr>
          <w:rFonts w:ascii="Times New Roman" w:cs="Times New Roman" w:eastAsia="Times New Roman" w:hAnsi="Times New Roman"/>
          <w:b w:val="false"/>
          <w:bCs w:val="false"/>
          <w:i w:val="false"/>
          <w:iCs w:val="false"/>
          <w:sz w:val="22"/>
          <w:szCs w:val="22"/>
        </w:rPr>
        <w:t xml:space="preserve">Future work. The natural next implementation is Aptadynamic-LLM, projecting the same magnitudes over log-probability streams of large language models, where observable density is not a constraint. Within the power domain, conditional-severity discrimination at equal alert budget suggests an operational use: latent-collapse flags as escalation-risk qualifiers layered over existing intensity-based alerting.</w:t>
      </w:r>
    </w:p>
    <w:p>
      <w:pPr>
        <w:pStyle w:val="Heading1"/>
        <w:spacing w:after="160" w:before="280"/>
      </w:pPr>
      <w:r>
        <w:rPr>
          <w:rFonts w:ascii="Times New Roman" w:cs="Times New Roman" w:eastAsia="Times New Roman" w:hAnsi="Times New Roman"/>
          <w:b/>
          <w:bCs/>
          <w:sz w:val="26"/>
          <w:szCs w:val="26"/>
        </w:rPr>
        <w:t xml:space="preserve">Acknowledgments</w:t>
      </w:r>
    </w:p>
    <w:p>
      <w:pPr>
        <w:spacing w:after="160" w:line="300"/>
        <w:jc w:val="both"/>
      </w:pPr>
      <w:r>
        <w:rPr>
          <w:rFonts w:ascii="Times New Roman" w:cs="Times New Roman" w:eastAsia="Times New Roman" w:hAnsi="Times New Roman"/>
          <w:b w:val="false"/>
          <w:bCs w:val="false"/>
          <w:i w:val="false"/>
          <w:iCs w:val="false"/>
          <w:sz w:val="22"/>
          <w:szCs w:val="22"/>
        </w:rPr>
        <w:t xml:space="preserve">The author is grateful to Ian Dobson (Iowa State University) for providing the cleaned BPA outage data and its documentation, and for methodological caveats regarding weather dominance and data sensitivity, and to Bonneville Power Administration for making the outage data public. Bus names are anonymized in all outputs. The analysis and any conclusions are strictly those of the authors and not of Bonneville Power Administration.</w:t>
      </w:r>
    </w:p>
    <w:p>
      <w:pPr>
        <w:pStyle w:val="Heading1"/>
        <w:spacing w:after="160" w:before="280"/>
      </w:pPr>
      <w:r>
        <w:rPr>
          <w:rFonts w:ascii="Times New Roman" w:cs="Times New Roman" w:eastAsia="Times New Roman" w:hAnsi="Times New Roman"/>
          <w:b/>
          <w:bCs/>
          <w:sz w:val="26"/>
          <w:szCs w:val="26"/>
        </w:rPr>
        <w:t xml:space="preserve">References</w:t>
      </w:r>
    </w:p>
    <w:p>
      <w:pPr>
        <w:spacing w:after="160" w:line="300"/>
        <w:jc w:val="both"/>
      </w:pPr>
      <w:r>
        <w:rPr>
          <w:rFonts w:ascii="Times New Roman" w:cs="Times New Roman" w:eastAsia="Times New Roman" w:hAnsi="Times New Roman"/>
          <w:b w:val="false"/>
          <w:bCs w:val="false"/>
          <w:i w:val="false"/>
          <w:iCs w:val="false"/>
          <w:sz w:val="22"/>
          <w:szCs w:val="22"/>
        </w:rPr>
        <w:t xml:space="preserve">[1] AptadynamiK Project. APTADINAMIA: Corpus Lógico-Matemático. Ontological base and axiomatization E1–E5, definitions of Ξ, Θ(λ), latent collapse (Def. 11), and structural generation power (Def. 10).</w:t>
      </w:r>
    </w:p>
    <w:p>
      <w:pPr>
        <w:spacing w:after="160" w:line="300"/>
        <w:jc w:val="both"/>
      </w:pPr>
      <w:r>
        <w:rPr>
          <w:rFonts w:ascii="Times New Roman" w:cs="Times New Roman" w:eastAsia="Times New Roman" w:hAnsi="Times New Roman"/>
          <w:b w:val="false"/>
          <w:bCs w:val="false"/>
          <w:i w:val="false"/>
          <w:iCs w:val="false"/>
          <w:sz w:val="22"/>
          <w:szCs w:val="22"/>
        </w:rPr>
        <w:t xml:space="preserve">[2] I. Dobson. CFAREADBPA-10: cleaning and documentation of the BPA transmission outage dataset, 1999–2017.</w:t>
      </w:r>
    </w:p>
    <w:p>
      <w:pPr>
        <w:spacing w:after="160" w:line="300"/>
        <w:jc w:val="both"/>
      </w:pPr>
      <w:r>
        <w:rPr>
          <w:rFonts w:ascii="Times New Roman" w:cs="Times New Roman" w:eastAsia="Times New Roman" w:hAnsi="Times New Roman"/>
          <w:b w:val="false"/>
          <w:bCs w:val="false"/>
          <w:i w:val="false"/>
          <w:iCs w:val="false"/>
          <w:sz w:val="22"/>
          <w:szCs w:val="22"/>
        </w:rPr>
        <w:t xml:space="preserve">[3] H. Ren, I. Dobson et al. Carrington-class analyses of NYISO transmission outage data (NAPS 2021 preprint).</w:t>
      </w:r>
    </w:p>
    <w:p>
      <w:pPr>
        <w:spacing w:after="160" w:line="300"/>
        <w:jc w:val="both"/>
      </w:pPr>
      <w:r>
        <w:rPr>
          <w:rFonts w:ascii="Times New Roman" w:cs="Times New Roman" w:eastAsia="Times New Roman" w:hAnsi="Times New Roman"/>
          <w:b w:val="false"/>
          <w:bCs w:val="false"/>
          <w:i w:val="false"/>
          <w:iCs w:val="false"/>
          <w:sz w:val="22"/>
          <w:szCs w:val="22"/>
        </w:rPr>
        <w:t xml:space="preserve">[4] J.-P. Aubin. Viability Theory. Birkhäuser. (Framework generalized by the endogenous-threshold, memory-kernel formulation.)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2026-07-03T02:34:56.459Z</dcterms:created>
  <dcterms:modified xsi:type="dcterms:W3CDTF">2026-07-03T02:34:56.459Z</dcterms:modified>
</cp:coreProperties>
</file>

<file path=docProps/custom.xml><?xml version="1.0" encoding="utf-8"?>
<Properties xmlns="http://schemas.openxmlformats.org/officeDocument/2006/custom-properties" xmlns:vt="http://schemas.openxmlformats.org/officeDocument/2006/docPropsVTypes"/>
</file>