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805" w:tblpY="303"/>
        <w:tblOverlap w:val="never"/>
        <w:tblW w:w="8374" w:type="dxa"/>
        <w:tblInd w:w="0" w:type="dxa"/>
        <w:tblLayout w:type="fixed"/>
        <w:tblCellMar>
          <w:top w:w="0" w:type="dxa"/>
          <w:left w:w="0" w:type="dxa"/>
          <w:bottom w:w="0" w:type="dxa"/>
          <w:right w:w="0" w:type="dxa"/>
        </w:tblCellMar>
      </w:tblPr>
      <w:tblGrid>
        <w:gridCol w:w="1736"/>
        <w:gridCol w:w="1405"/>
        <w:gridCol w:w="1371"/>
        <w:gridCol w:w="1751"/>
        <w:gridCol w:w="2111"/>
      </w:tblGrid>
      <w:tr>
        <w:tblPrEx>
          <w:tblLayout w:type="fixed"/>
          <w:tblCellMar>
            <w:top w:w="0" w:type="dxa"/>
            <w:left w:w="0" w:type="dxa"/>
            <w:bottom w:w="0" w:type="dxa"/>
            <w:right w:w="0" w:type="dxa"/>
          </w:tblCellMar>
        </w:tblPrEx>
        <w:trPr>
          <w:trHeight w:val="634"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(设备接收)功能函数</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箱子本地端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说明</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　设备发送数据</w:t>
            </w:r>
          </w:p>
          <w:p>
            <w:pPr>
              <w:widowControl/>
              <w:spacing w:line="23" w:lineRule="atLeast"/>
              <w:jc w:val="left"/>
              <w:textAlignment w:val="center"/>
              <w:rPr>
                <w:rFonts w:hint="eastAsia" w:ascii="宋体" w:hAnsi="宋体" w:cs="宋体"/>
                <w:color w:val="000000"/>
                <w:kern w:val="0"/>
                <w:sz w:val="22"/>
                <w:szCs w:val="22"/>
                <w:lang w:bidi="ar"/>
              </w:rPr>
            </w:pP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READ_GPS</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发送请求并接收箱子发来的GPS信息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发送自身GPS信息给服务器端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坐标信息</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#设备ID,</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SEND_GPS,经度,纬度</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READ_LOCK_STATUS</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发送请求并接收箱子发来的当前锁状态</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发送自身当前锁状态信息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锁子状态：开/关</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SEND_LOCK_STATUS,0/1</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1233"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SET_LOCK_0/1</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发送开锁或者关锁请求</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接收并执行开锁或关锁动作并返回确认信息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执行开锁/关锁动作</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#设备ID,</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RET_LOCK,0/1</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READ_COVER_STATUS</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发送查看请求并接收箱子盖子微动信息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执行指令并给服务器返回盖子微动信息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服务器随时可调用该功能获取微动信息</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SEND_COVER_STATUS,0/1</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READ_QUALITY</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发送查看请求并接收箱子的重量信息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检测自身重量并向服务器发送重量信息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服务器随时可调用该功能获取重量信息</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#设备ID, SEND_QUALITY,重量 (.kg)</w:t>
            </w:r>
          </w:p>
          <w:p>
            <w:pPr>
              <w:widowControl/>
              <w:spacing w:line="23" w:lineRule="atLeast"/>
              <w:jc w:val="left"/>
              <w:textAlignment w:val="center"/>
              <w:rPr>
                <w:rFonts w:hint="eastAsia" w:ascii="宋体" w:hAnsi="宋体" w:cs="宋体"/>
                <w:color w:val="000000"/>
                <w:sz w:val="22"/>
                <w:szCs w:val="22"/>
              </w:rPr>
            </w:pP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READ_GRAVITY</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发送查看请求并接收箱子发来的震动信息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检测当前震动信息发送给服务器</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服务器可随时调用该功能获取震动信息</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#设备ID, SEND_GRAVITY,加速度值</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READ_LEAD_ANGLE</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发送查看请求并接收箱子发来的倾斜信息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检查当前倾斜信息发送给服务器</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服务器可随时调用该功能获取倾斜信息</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SEND_LEAD_ANGLE,倾斜度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READ_CHARGE</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发送查看电量请求并接收电量返回信息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检测自身电量信息并发送给服务器</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服务器端可调起该功能随时可以查看电量</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#设备ID,</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SEND_CHARGE,电量(百分比)</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READ_CHARGEING</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发送查看充电状态并接收返回信息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给服务器发送当前充电状态信息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服务器端可调起该功能随时可以查看充电情况</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SEND_CHARGEING,0/1</w:t>
            </w:r>
          </w:p>
        </w:tc>
      </w:tr>
      <w:tr>
        <w:tblPrEx>
          <w:tblLayout w:type="fixed"/>
          <w:tblCellMar>
            <w:top w:w="0" w:type="dxa"/>
            <w:left w:w="0" w:type="dxa"/>
            <w:bottom w:w="0" w:type="dxa"/>
            <w:right w:w="0" w:type="dxa"/>
          </w:tblCellMar>
        </w:tblPrEx>
        <w:trPr>
          <w:trHeight w:val="1233"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READ_CHARGED</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发送查看充电是否完成指令并接收完成信息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给服务器发送充电完成情况的信息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服务器可随时调起该功能查看是否完成充电</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SEND_CHARGED,0/1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1233"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PLAY_SOUND</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调起箱子该功能发送播放第几段音乐的指令</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接收并执行服务器端的指令并返回确认信息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属于服务器端主动调用配置箱子功能</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　设备接收：</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#设备ID,PLAY_SOUND,0/1</w:t>
            </w:r>
            <w:r>
              <w:rPr>
                <w:rFonts w:ascii="宋体" w:hAnsi="宋体" w:cs="宋体"/>
                <w:color w:val="000000"/>
                <w:kern w:val="0"/>
                <w:sz w:val="22"/>
                <w:szCs w:val="22"/>
                <w:lang w:bidi="ar"/>
              </w:rPr>
              <w:t>…</w:t>
            </w:r>
          </w:p>
          <w:p>
            <w:pPr>
              <w:widowControl/>
              <w:spacing w:line="23" w:lineRule="atLeast"/>
              <w:jc w:val="left"/>
              <w:textAlignment w:val="center"/>
              <w:rPr>
                <w:rFonts w:hint="eastAsia" w:ascii="宋体" w:hAnsi="宋体" w:cs="宋体"/>
                <w:color w:val="000000"/>
                <w:sz w:val="22"/>
                <w:szCs w:val="22"/>
              </w:rPr>
            </w:pP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BLINK_LED</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调起箱子该功能让灯开始特定闪烁</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接收到服务器闪烁指令时开始特定闪烁</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服务器主动调用该功能</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　设备接收：</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#设备ID,BLINK_LED,0/1</w:t>
            </w:r>
            <w:r>
              <w:rPr>
                <w:rFonts w:ascii="宋体" w:hAnsi="宋体" w:cs="宋体"/>
                <w:color w:val="000000"/>
                <w:kern w:val="0"/>
                <w:sz w:val="22"/>
                <w:szCs w:val="22"/>
                <w:lang w:bidi="ar"/>
              </w:rPr>
              <w:t>…</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GET_FIRMVARE_VERSION</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调起箱子该功能发送查看版本请求</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返回服务器箱子版本信息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版本信息</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xml:space="preserve">#设备ID, </w:t>
            </w:r>
            <w:r>
              <w:rPr>
                <w:rFonts w:hint="eastAsia" w:ascii="宋体" w:hAnsi="宋体" w:cs="宋体"/>
                <w:color w:val="000000"/>
                <w:kern w:val="0"/>
                <w:sz w:val="20"/>
                <w:szCs w:val="20"/>
                <w:lang w:bidi="ar"/>
              </w:rPr>
              <w:t>GET_FIRMVARE_VERSION,</w:t>
            </w:r>
            <w:r>
              <w:rPr>
                <w:rFonts w:hint="eastAsia" w:ascii="宋体" w:hAnsi="宋体" w:cs="宋体"/>
                <w:color w:val="000000"/>
                <w:kern w:val="0"/>
                <w:sz w:val="22"/>
                <w:szCs w:val="22"/>
                <w:lang w:bidi="ar"/>
              </w:rPr>
              <w:t>版本信息</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UPDATE_FIRMVARE</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固件的更新</w:t>
            </w:r>
            <w:r>
              <w:rPr>
                <w:rFonts w:hint="eastAsia" w:ascii="宋体" w:hAnsi="宋体" w:cs="宋体"/>
                <w:color w:val="000000"/>
                <w:kern w:val="0"/>
                <w:sz w:val="22"/>
                <w:szCs w:val="22"/>
                <w:lang w:eastAsia="zh-CN" w:bidi="ar"/>
              </w:rPr>
              <w:t>后接收到来自设备的版本信息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eastAsia="zh-CN" w:bidi="ar"/>
              </w:rPr>
              <w:t>设备收到手机蓝牙发送的更新包后</w:t>
            </w:r>
            <w:r>
              <w:rPr>
                <w:rFonts w:hint="eastAsia" w:ascii="宋体" w:hAnsi="宋体" w:cs="宋体"/>
                <w:color w:val="000000"/>
                <w:kern w:val="0"/>
                <w:sz w:val="22"/>
                <w:szCs w:val="22"/>
                <w:lang w:bidi="ar"/>
              </w:rPr>
              <w:t>并返回确认信息</w:t>
            </w:r>
          </w:p>
          <w:p>
            <w:pPr>
              <w:widowControl/>
              <w:spacing w:line="23" w:lineRule="atLeast"/>
              <w:jc w:val="center"/>
              <w:textAlignment w:val="center"/>
              <w:rPr>
                <w:rFonts w:hint="eastAsia" w:ascii="宋体" w:hAnsi="宋体" w:cs="宋体"/>
                <w:color w:val="000000"/>
                <w:sz w:val="22"/>
                <w:szCs w:val="22"/>
              </w:rPr>
            </w:pP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蓝牙实现固件信息更新</w:t>
            </w:r>
            <w:r>
              <w:rPr>
                <w:rFonts w:hint="eastAsia" w:ascii="宋体" w:hAnsi="宋体" w:cs="宋体"/>
                <w:color w:val="000000"/>
                <w:kern w:val="0"/>
                <w:sz w:val="22"/>
                <w:szCs w:val="22"/>
                <w:lang w:eastAsia="zh-CN" w:bidi="ar"/>
              </w:rPr>
              <w:t>后服务器接收到来自设备的版本信息</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UPDATE_FIRMVAR</w:t>
            </w:r>
            <w:r>
              <w:rPr>
                <w:rFonts w:hint="eastAsia" w:ascii="宋体" w:hAnsi="宋体" w:cs="宋体"/>
                <w:color w:val="000000"/>
                <w:kern w:val="0"/>
                <w:sz w:val="20"/>
                <w:szCs w:val="20"/>
                <w:lang w:bidi="ar"/>
              </w:rPr>
              <w:t>_VERSION,</w:t>
            </w:r>
            <w:r>
              <w:rPr>
                <w:rFonts w:hint="eastAsia" w:ascii="宋体" w:hAnsi="宋体" w:cs="宋体"/>
                <w:color w:val="000000"/>
                <w:kern w:val="0"/>
                <w:sz w:val="22"/>
                <w:szCs w:val="22"/>
                <w:lang w:bidi="ar"/>
              </w:rPr>
              <w:t>版本信息</w:t>
            </w:r>
          </w:p>
          <w:p>
            <w:pPr>
              <w:widowControl/>
              <w:spacing w:line="23" w:lineRule="atLeast"/>
              <w:jc w:val="left"/>
              <w:textAlignment w:val="center"/>
              <w:rPr>
                <w:rFonts w:hint="eastAsia" w:ascii="宋体" w:hAnsi="宋体" w:cs="宋体"/>
                <w:color w:val="000000"/>
                <w:sz w:val="22"/>
                <w:szCs w:val="22"/>
              </w:rPr>
            </w:pP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FF0000"/>
                <w:kern w:val="0"/>
                <w:sz w:val="22"/>
                <w:szCs w:val="22"/>
                <w:lang w:val="en-US" w:eastAsia="zh-CN" w:bidi="ar"/>
              </w:rPr>
            </w:pPr>
            <w:r>
              <w:rPr>
                <w:rFonts w:hint="eastAsia" w:ascii="宋体" w:hAnsi="宋体" w:cs="宋体"/>
                <w:color w:val="FF0000"/>
                <w:kern w:val="0"/>
                <w:sz w:val="22"/>
                <w:szCs w:val="22"/>
                <w:lang w:bidi="ar"/>
              </w:rPr>
              <w:t>READ_EEPROM</w:t>
            </w:r>
            <w:r>
              <w:rPr>
                <w:rFonts w:hint="eastAsia" w:ascii="宋体" w:hAnsi="宋体" w:cs="宋体"/>
                <w:color w:val="FF0000"/>
                <w:kern w:val="0"/>
                <w:sz w:val="22"/>
                <w:szCs w:val="22"/>
                <w:lang w:val="en-US" w:eastAsia="zh-CN" w:bidi="ar"/>
              </w:rPr>
              <w:t>,类型</w:t>
            </w:r>
          </w:p>
          <w:p>
            <w:pPr>
              <w:widowControl/>
              <w:spacing w:line="23" w:lineRule="atLeast"/>
              <w:jc w:val="center"/>
              <w:textAlignment w:val="center"/>
              <w:rPr>
                <w:rFonts w:hint="eastAsia" w:ascii="宋体" w:hAnsi="宋体" w:cs="宋体"/>
                <w:color w:val="FF0000"/>
                <w:kern w:val="0"/>
                <w:sz w:val="22"/>
                <w:szCs w:val="22"/>
                <w:lang w:val="en-US" w:eastAsia="zh-CN" w:bidi="ar"/>
              </w:rPr>
            </w:pPr>
            <w:r>
              <w:rPr>
                <w:rFonts w:hint="eastAsia" w:ascii="宋体" w:hAnsi="宋体" w:cs="宋体"/>
                <w:color w:val="FF0000"/>
                <w:kern w:val="0"/>
                <w:sz w:val="22"/>
                <w:szCs w:val="22"/>
                <w:lang w:val="en-US" w:eastAsia="zh-CN" w:bidi="ar"/>
              </w:rPr>
              <w:t>(ID/ip/...)</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FF0000"/>
                <w:sz w:val="22"/>
                <w:szCs w:val="22"/>
              </w:rPr>
            </w:pPr>
            <w:r>
              <w:rPr>
                <w:rFonts w:hint="eastAsia" w:ascii="宋体" w:hAnsi="宋体" w:cs="宋体"/>
                <w:color w:val="FF0000"/>
                <w:kern w:val="0"/>
                <w:sz w:val="22"/>
                <w:szCs w:val="22"/>
                <w:lang w:bidi="ar"/>
              </w:rPr>
              <w:t>调起该功能查看某用户区域信息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FF0000"/>
                <w:sz w:val="22"/>
                <w:szCs w:val="22"/>
              </w:rPr>
            </w:pPr>
            <w:r>
              <w:rPr>
                <w:rFonts w:hint="eastAsia" w:ascii="宋体" w:hAnsi="宋体" w:cs="宋体"/>
                <w:color w:val="FF0000"/>
                <w:kern w:val="0"/>
                <w:sz w:val="22"/>
                <w:szCs w:val="22"/>
                <w:lang w:bidi="ar"/>
              </w:rPr>
              <w:t>返回该用户区域信息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both"/>
              <w:textAlignment w:val="center"/>
              <w:rPr>
                <w:rFonts w:hint="eastAsia" w:ascii="宋体" w:hAnsi="宋体" w:cs="宋体"/>
                <w:color w:val="FF0000"/>
                <w:sz w:val="22"/>
                <w:szCs w:val="22"/>
              </w:rPr>
            </w:pPr>
            <w:r>
              <w:rPr>
                <w:rFonts w:hint="eastAsia" w:ascii="宋体" w:hAnsi="宋体" w:cs="宋体"/>
                <w:color w:val="FF0000"/>
                <w:kern w:val="0"/>
                <w:sz w:val="22"/>
                <w:szCs w:val="22"/>
                <w:lang w:eastAsia="zh-CN" w:bidi="ar"/>
              </w:rPr>
              <w:t>设备接收服务器查看</w:t>
            </w:r>
            <w:r>
              <w:rPr>
                <w:rFonts w:hint="eastAsia" w:ascii="宋体" w:hAnsi="宋体" w:cs="宋体"/>
                <w:color w:val="FF0000"/>
                <w:kern w:val="0"/>
                <w:sz w:val="22"/>
                <w:szCs w:val="22"/>
                <w:lang w:bidi="ar"/>
              </w:rPr>
              <w:t>某用户区域信息</w:t>
            </w:r>
            <w:r>
              <w:rPr>
                <w:rFonts w:hint="eastAsia" w:ascii="宋体" w:hAnsi="宋体" w:cs="宋体"/>
                <w:color w:val="FF0000"/>
                <w:kern w:val="0"/>
                <w:sz w:val="22"/>
                <w:szCs w:val="22"/>
                <w:lang w:eastAsia="zh-CN" w:bidi="ar"/>
              </w:rPr>
              <w:t>指令</w:t>
            </w:r>
            <w:r>
              <w:rPr>
                <w:rFonts w:hint="eastAsia" w:ascii="宋体" w:hAnsi="宋体" w:cs="宋体"/>
                <w:color w:val="FF0000"/>
                <w:kern w:val="0"/>
                <w:sz w:val="22"/>
                <w:szCs w:val="22"/>
                <w:lang w:val="en-US" w:eastAsia="zh-CN" w:bidi="ar"/>
              </w:rPr>
              <w:t>,</w:t>
            </w:r>
            <w:r>
              <w:rPr>
                <w:rFonts w:hint="eastAsia" w:ascii="宋体" w:hAnsi="宋体" w:cs="宋体"/>
                <w:color w:val="FF0000"/>
                <w:kern w:val="0"/>
                <w:sz w:val="22"/>
                <w:szCs w:val="22"/>
                <w:lang w:eastAsia="zh-CN" w:bidi="ar"/>
              </w:rPr>
              <w:t>读取本地</w:t>
            </w:r>
            <w:r>
              <w:rPr>
                <w:rFonts w:hint="eastAsia" w:ascii="宋体" w:hAnsi="宋体" w:cs="宋体"/>
                <w:color w:val="FF0000"/>
                <w:kern w:val="0"/>
                <w:sz w:val="22"/>
                <w:szCs w:val="22"/>
                <w:lang w:val="en-US" w:eastAsia="zh-CN" w:bidi="ar"/>
              </w:rPr>
              <w:t>EEPROM中固定存储地址的值并返回给服务器</w:t>
            </w:r>
            <w:r>
              <w:rPr>
                <w:rFonts w:hint="eastAsia" w:ascii="宋体" w:hAnsi="宋体" w:cs="宋体"/>
                <w:color w:val="FF0000"/>
                <w:kern w:val="0"/>
                <w:sz w:val="22"/>
                <w:szCs w:val="22"/>
                <w:lang w:bidi="ar"/>
              </w:rPr>
              <w:t>　</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FF0000"/>
                <w:kern w:val="0"/>
                <w:sz w:val="22"/>
                <w:szCs w:val="22"/>
                <w:lang w:bidi="ar"/>
              </w:rPr>
            </w:pPr>
            <w:r>
              <w:rPr>
                <w:rFonts w:hint="eastAsia" w:ascii="宋体" w:hAnsi="宋体" w:cs="宋体"/>
                <w:color w:val="FF0000"/>
                <w:kern w:val="0"/>
                <w:sz w:val="22"/>
                <w:szCs w:val="22"/>
                <w:lang w:bidi="ar"/>
              </w:rPr>
              <w:t>　设备接收：#设备ID,READ_EEPROM,</w:t>
            </w:r>
            <w:r>
              <w:rPr>
                <w:rFonts w:hint="eastAsia" w:ascii="宋体" w:hAnsi="宋体" w:cs="宋体"/>
                <w:color w:val="FF0000"/>
                <w:kern w:val="0"/>
                <w:sz w:val="22"/>
                <w:szCs w:val="22"/>
                <w:lang w:val="en-US" w:eastAsia="zh-CN" w:bidi="ar"/>
              </w:rPr>
              <w:t>类型</w:t>
            </w:r>
          </w:p>
          <w:p>
            <w:pPr>
              <w:widowControl/>
              <w:spacing w:line="23" w:lineRule="atLeast"/>
              <w:jc w:val="left"/>
              <w:textAlignment w:val="center"/>
              <w:rPr>
                <w:rFonts w:hint="eastAsia" w:ascii="宋体" w:hAnsi="宋体" w:cs="宋体"/>
                <w:color w:val="FF0000"/>
                <w:kern w:val="0"/>
                <w:sz w:val="22"/>
                <w:szCs w:val="22"/>
                <w:lang w:bidi="ar"/>
              </w:rPr>
            </w:pPr>
            <w:r>
              <w:rPr>
                <w:rFonts w:hint="eastAsia" w:ascii="宋体" w:hAnsi="宋体" w:cs="宋体"/>
                <w:color w:val="FF0000"/>
                <w:kern w:val="0"/>
                <w:sz w:val="22"/>
                <w:szCs w:val="22"/>
                <w:lang w:bidi="ar"/>
              </w:rPr>
              <w:t>设备发送：</w:t>
            </w:r>
          </w:p>
          <w:p>
            <w:pPr>
              <w:widowControl/>
              <w:spacing w:line="23" w:lineRule="atLeast"/>
              <w:jc w:val="left"/>
              <w:textAlignment w:val="center"/>
              <w:rPr>
                <w:rFonts w:hint="eastAsia" w:ascii="宋体" w:hAnsi="宋体" w:cs="宋体"/>
                <w:color w:val="FF0000"/>
                <w:sz w:val="22"/>
                <w:szCs w:val="22"/>
              </w:rPr>
            </w:pPr>
            <w:r>
              <w:rPr>
                <w:rFonts w:hint="eastAsia" w:ascii="宋体" w:hAnsi="宋体" w:cs="宋体"/>
                <w:color w:val="FF0000"/>
                <w:kern w:val="0"/>
                <w:sz w:val="22"/>
                <w:szCs w:val="22"/>
                <w:lang w:bidi="ar"/>
              </w:rPr>
              <w:t>#设备ID,RET_READ_EEPROM,</w:t>
            </w:r>
            <w:r>
              <w:rPr>
                <w:rFonts w:hint="eastAsia" w:ascii="宋体" w:hAnsi="宋体" w:cs="宋体"/>
                <w:color w:val="FF0000"/>
                <w:kern w:val="0"/>
                <w:sz w:val="22"/>
                <w:szCs w:val="22"/>
                <w:lang w:eastAsia="zh-CN" w:bidi="ar"/>
              </w:rPr>
              <w:t>类型</w:t>
            </w:r>
            <w:r>
              <w:rPr>
                <w:rFonts w:hint="eastAsia" w:ascii="宋体" w:hAnsi="宋体" w:cs="宋体"/>
                <w:color w:val="FF0000"/>
                <w:kern w:val="0"/>
                <w:sz w:val="22"/>
                <w:szCs w:val="22"/>
                <w:lang w:bidi="ar"/>
              </w:rPr>
              <w:t>，值　</w:t>
            </w:r>
          </w:p>
          <w:p>
            <w:pPr>
              <w:widowControl/>
              <w:spacing w:line="23" w:lineRule="atLeast"/>
              <w:jc w:val="left"/>
              <w:textAlignment w:val="center"/>
              <w:rPr>
                <w:rFonts w:hint="eastAsia" w:ascii="宋体" w:hAnsi="宋体" w:cs="宋体"/>
                <w:color w:val="FF0000"/>
                <w:sz w:val="22"/>
                <w:szCs w:val="22"/>
              </w:rPr>
            </w:pP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FF0000"/>
                <w:kern w:val="0"/>
                <w:sz w:val="22"/>
                <w:szCs w:val="22"/>
                <w:lang w:val="en-US" w:eastAsia="zh-CN" w:bidi="ar"/>
              </w:rPr>
            </w:pPr>
            <w:r>
              <w:rPr>
                <w:rFonts w:hint="eastAsia" w:ascii="宋体" w:hAnsi="宋体" w:cs="宋体"/>
                <w:color w:val="FF0000"/>
                <w:kern w:val="0"/>
                <w:sz w:val="22"/>
                <w:szCs w:val="22"/>
                <w:lang w:bidi="ar"/>
              </w:rPr>
              <w:t>WRITE_E</w:t>
            </w:r>
            <w:r>
              <w:rPr>
                <w:rFonts w:hint="eastAsia" w:ascii="宋体" w:hAnsi="宋体" w:cs="宋体"/>
                <w:color w:val="FF0000"/>
                <w:kern w:val="0"/>
                <w:sz w:val="22"/>
                <w:szCs w:val="22"/>
                <w:lang w:val="en-US" w:eastAsia="zh-CN" w:bidi="ar"/>
              </w:rPr>
              <w:t>E</w:t>
            </w:r>
            <w:r>
              <w:rPr>
                <w:rFonts w:hint="eastAsia" w:ascii="宋体" w:hAnsi="宋体" w:cs="宋体"/>
                <w:color w:val="FF0000"/>
                <w:kern w:val="0"/>
                <w:sz w:val="22"/>
                <w:szCs w:val="22"/>
                <w:lang w:bidi="ar"/>
              </w:rPr>
              <w:t>PROM</w:t>
            </w:r>
            <w:r>
              <w:rPr>
                <w:rFonts w:hint="eastAsia" w:ascii="宋体" w:hAnsi="宋体" w:cs="宋体"/>
                <w:color w:val="FF0000"/>
                <w:kern w:val="0"/>
                <w:sz w:val="22"/>
                <w:szCs w:val="22"/>
                <w:lang w:val="en-US" w:eastAsia="zh-CN" w:bidi="ar"/>
              </w:rPr>
              <w:t>,类型</w:t>
            </w:r>
          </w:p>
          <w:p>
            <w:pPr>
              <w:widowControl/>
              <w:spacing w:line="23" w:lineRule="atLeast"/>
              <w:jc w:val="center"/>
              <w:textAlignment w:val="center"/>
              <w:rPr>
                <w:rFonts w:hint="eastAsia" w:ascii="宋体" w:hAnsi="宋体" w:cs="宋体"/>
                <w:color w:val="FF0000"/>
                <w:kern w:val="0"/>
                <w:sz w:val="22"/>
                <w:szCs w:val="22"/>
                <w:lang w:val="en-US" w:eastAsia="zh-CN" w:bidi="ar"/>
              </w:rPr>
            </w:pPr>
            <w:r>
              <w:rPr>
                <w:rFonts w:hint="eastAsia" w:ascii="宋体" w:hAnsi="宋体" w:cs="宋体"/>
                <w:color w:val="FF0000"/>
                <w:kern w:val="0"/>
                <w:sz w:val="22"/>
                <w:szCs w:val="22"/>
                <w:lang w:val="en-US" w:eastAsia="zh-CN" w:bidi="ar"/>
              </w:rPr>
              <w:t>(ID/ip/...)</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FF0000"/>
                <w:sz w:val="22"/>
                <w:szCs w:val="22"/>
              </w:rPr>
            </w:pPr>
            <w:r>
              <w:rPr>
                <w:rFonts w:hint="eastAsia" w:ascii="宋体" w:hAnsi="宋体" w:cs="宋体"/>
                <w:color w:val="FF0000"/>
                <w:kern w:val="0"/>
                <w:sz w:val="22"/>
                <w:szCs w:val="22"/>
                <w:lang w:bidi="ar"/>
              </w:rPr>
              <w:t>调起该功能在某用户区域开始写入信息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FF0000"/>
                <w:kern w:val="0"/>
                <w:sz w:val="22"/>
                <w:szCs w:val="22"/>
                <w:lang w:bidi="ar"/>
              </w:rPr>
            </w:pPr>
            <w:commentRangeStart w:id="0"/>
            <w:r>
              <w:rPr>
                <w:rFonts w:hint="eastAsia" w:ascii="宋体" w:hAnsi="宋体" w:cs="宋体"/>
                <w:color w:val="FF0000"/>
                <w:kern w:val="0"/>
                <w:sz w:val="22"/>
                <w:szCs w:val="22"/>
                <w:lang w:bidi="ar"/>
              </w:rPr>
              <w:t>写入服务器端传来的信息在指定用户区</w:t>
            </w:r>
            <w:commentRangeEnd w:id="0"/>
            <w:r>
              <w:commentReference w:id="0"/>
            </w:r>
          </w:p>
          <w:p>
            <w:pPr>
              <w:widowControl/>
              <w:spacing w:line="23" w:lineRule="atLeast"/>
              <w:jc w:val="center"/>
              <w:textAlignment w:val="center"/>
              <w:rPr>
                <w:rFonts w:hint="eastAsia" w:ascii="宋体" w:hAnsi="宋体" w:cs="宋体"/>
                <w:color w:val="FF0000"/>
                <w:sz w:val="22"/>
                <w:szCs w:val="22"/>
              </w:rPr>
            </w:pP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FF0000"/>
                <w:sz w:val="22"/>
                <w:szCs w:val="22"/>
              </w:rPr>
            </w:pPr>
            <w:r>
              <w:rPr>
                <w:rFonts w:hint="eastAsia" w:ascii="宋体" w:hAnsi="宋体" w:cs="宋体"/>
                <w:color w:val="FF0000"/>
                <w:kern w:val="0"/>
                <w:sz w:val="22"/>
                <w:szCs w:val="22"/>
                <w:lang w:eastAsia="zh-CN" w:bidi="ar"/>
              </w:rPr>
              <w:t>接收服务器更改参数指令</w:t>
            </w:r>
            <w:r>
              <w:rPr>
                <w:rFonts w:hint="eastAsia" w:ascii="宋体" w:hAnsi="宋体" w:cs="宋体"/>
                <w:color w:val="FF0000"/>
                <w:kern w:val="0"/>
                <w:sz w:val="22"/>
                <w:szCs w:val="22"/>
                <w:lang w:val="en-US" w:eastAsia="zh-CN" w:bidi="ar"/>
              </w:rPr>
              <w:t>,设备写入本地EEPROM中固定存储地址并将是否执行成功返回到服务器</w:t>
            </w:r>
            <w:r>
              <w:rPr>
                <w:rFonts w:hint="eastAsia" w:ascii="宋体" w:hAnsi="宋体" w:cs="宋体"/>
                <w:color w:val="FF0000"/>
                <w:kern w:val="0"/>
                <w:sz w:val="22"/>
                <w:szCs w:val="22"/>
                <w:lang w:bidi="ar"/>
              </w:rPr>
              <w:t>　</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FF0000"/>
                <w:kern w:val="0"/>
                <w:sz w:val="22"/>
                <w:szCs w:val="22"/>
                <w:lang w:bidi="ar"/>
              </w:rPr>
              <w:t>　</w:t>
            </w:r>
            <w:r>
              <w:rPr>
                <w:rFonts w:hint="eastAsia" w:ascii="宋体" w:hAnsi="宋体" w:cs="宋体"/>
                <w:color w:val="000000"/>
                <w:kern w:val="0"/>
                <w:sz w:val="22"/>
                <w:szCs w:val="22"/>
                <w:lang w:bidi="ar"/>
              </w:rPr>
              <w:t>需要应答是否执行成功</w:t>
            </w: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设备接收：</w:t>
            </w: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#设备ID,WRITE_EEPROM,地址，值</w:t>
            </w: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设备发送：</w:t>
            </w:r>
          </w:p>
          <w:p>
            <w:pPr>
              <w:widowControl/>
              <w:spacing w:line="23" w:lineRule="atLeast"/>
              <w:jc w:val="left"/>
              <w:textAlignment w:val="center"/>
              <w:rPr>
                <w:rFonts w:hint="eastAsia" w:ascii="宋体" w:hAnsi="宋体" w:cs="宋体"/>
                <w:color w:val="FF0000"/>
                <w:sz w:val="22"/>
                <w:szCs w:val="22"/>
              </w:rPr>
            </w:pPr>
            <w:r>
              <w:rPr>
                <w:rFonts w:hint="eastAsia" w:ascii="宋体" w:hAnsi="宋体" w:cs="宋体"/>
                <w:color w:val="000000"/>
                <w:kern w:val="0"/>
                <w:sz w:val="22"/>
                <w:szCs w:val="22"/>
                <w:lang w:bidi="ar"/>
              </w:rPr>
              <w:t>#设备ID,RET_WRITE_EEPROM,0/1</w:t>
            </w:r>
          </w:p>
        </w:tc>
      </w:tr>
      <w:tr>
        <w:tblPrEx>
          <w:tblLayout w:type="fixed"/>
          <w:tblCellMar>
            <w:top w:w="0" w:type="dxa"/>
            <w:left w:w="0" w:type="dxa"/>
            <w:bottom w:w="0" w:type="dxa"/>
            <w:right w:w="0" w:type="dxa"/>
          </w:tblCellMar>
        </w:tblPrEx>
        <w:trPr>
          <w:trHeight w:val="1233"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SET_MODE_0/1/2/3/4,0/1</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设置箱子的模式状态</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执行相应的模式状态</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箱子相应的模式状态对应相应的一些功能详情可参考模式表或者模式图</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GET_MODE</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读取箱子当前模式状态</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返回给服务器当前模式状态</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在箱子模式进行改变时均触发并向服务器汇报</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RET_MODE,0/1/2/3/4</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1233"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RESTART_DEVICE</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调起箱子该功能，使箱子进行重启恢复0模式</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重启程序恢复0模式，并向服务器返回相关信息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重启完成要返回一个信息告知服务器</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 xml:space="preserve">#设备ID,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RESTART_DEVICE,0/1</w:t>
            </w:r>
          </w:p>
          <w:p>
            <w:pPr>
              <w:widowControl/>
              <w:spacing w:line="23" w:lineRule="atLeast"/>
              <w:jc w:val="left"/>
              <w:textAlignment w:val="center"/>
              <w:rPr>
                <w:rFonts w:hint="eastAsia" w:ascii="宋体" w:hAnsi="宋体" w:cs="宋体"/>
                <w:color w:val="000000"/>
                <w:sz w:val="22"/>
                <w:szCs w:val="22"/>
              </w:rPr>
            </w:pPr>
          </w:p>
        </w:tc>
      </w:tr>
      <w:tr>
        <w:tblPrEx>
          <w:tblLayout w:type="fixed"/>
          <w:tblCellMar>
            <w:top w:w="0" w:type="dxa"/>
            <w:left w:w="0" w:type="dxa"/>
            <w:bottom w:w="0" w:type="dxa"/>
            <w:right w:w="0" w:type="dxa"/>
          </w:tblCellMar>
        </w:tblPrEx>
        <w:trPr>
          <w:trHeight w:val="1233"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ENABLE_MODULE_0_ON/OFF</w:t>
            </w:r>
          </w:p>
          <w:p>
            <w:pPr>
              <w:widowControl/>
              <w:spacing w:line="23" w:lineRule="atLeast"/>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ENABLE_MODULE_1_ON/OFF</w:t>
            </w:r>
          </w:p>
          <w:p>
            <w:pPr>
              <w:widowControl/>
              <w:spacing w:line="23" w:lineRule="atLeast"/>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服务器调起该功能控制开或关指定异常警报模块</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接收服务器指令，开启或关闭指定异常报警模块</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服务器能分别指定各种异常警报的开关</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eastAsia="宋体" w:cs="宋体"/>
                <w:color w:val="000000"/>
                <w:kern w:val="0"/>
                <w:sz w:val="22"/>
                <w:szCs w:val="22"/>
                <w:lang w:eastAsia="zh-CN" w:bidi="ar"/>
              </w:rPr>
            </w:pPr>
            <w:r>
              <w:rPr>
                <w:rFonts w:hint="eastAsia" w:ascii="宋体" w:hAnsi="宋体" w:cs="宋体"/>
                <w:color w:val="000000"/>
                <w:kern w:val="0"/>
                <w:sz w:val="22"/>
                <w:szCs w:val="22"/>
                <w:lang w:eastAsia="zh-CN" w:bidi="ar"/>
              </w:rPr>
              <w:t>返回是否执行成功</w:t>
            </w: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ENABLE_MODULE_0_ON/OFF</w:t>
            </w:r>
            <w:r>
              <w:rPr>
                <w:rFonts w:hint="eastAsia" w:ascii="宋体" w:hAnsi="宋体" w:cs="宋体"/>
                <w:color w:val="000000"/>
                <w:kern w:val="0"/>
                <w:sz w:val="22"/>
                <w:szCs w:val="22"/>
                <w:lang w:val="en-US" w:eastAsia="zh-CN" w:bidi="ar"/>
              </w:rPr>
              <w:t>,0/1</w:t>
            </w:r>
          </w:p>
          <w:p>
            <w:pPr>
              <w:widowControl/>
              <w:spacing w:line="23" w:lineRule="atLeast"/>
              <w:jc w:val="lef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ENABLE_MODULE_1_ON/OFF</w:t>
            </w:r>
            <w:r>
              <w:rPr>
                <w:rFonts w:hint="eastAsia" w:ascii="宋体" w:hAnsi="宋体" w:cs="宋体"/>
                <w:color w:val="000000"/>
                <w:kern w:val="0"/>
                <w:sz w:val="22"/>
                <w:szCs w:val="22"/>
                <w:lang w:val="en-US" w:eastAsia="zh-CN" w:bidi="ar"/>
              </w:rPr>
              <w:t>,0/1</w:t>
            </w:r>
          </w:p>
          <w:p>
            <w:pPr>
              <w:widowControl/>
              <w:spacing w:line="23" w:lineRule="atLeast"/>
              <w:jc w:val="center"/>
              <w:textAlignment w:val="center"/>
              <w:rPr>
                <w:rFonts w:hint="eastAsia" w:ascii="宋体" w:hAnsi="宋体" w:eastAsia="宋体" w:cs="宋体"/>
                <w:color w:val="000000"/>
                <w:sz w:val="22"/>
                <w:szCs w:val="22"/>
                <w:lang w:val="en-US" w:eastAsia="zh-CN"/>
              </w:rPr>
            </w:pPr>
            <w:r>
              <w:rPr>
                <w:rFonts w:hint="eastAsia" w:ascii="宋体" w:hAnsi="宋体" w:cs="宋体"/>
                <w:color w:val="000000"/>
                <w:sz w:val="22"/>
                <w:szCs w:val="22"/>
                <w:lang w:val="en-US" w:eastAsia="zh-CN"/>
              </w:rPr>
              <w:t>....</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SEND_GPS</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接收箱子主动发送的GPS信息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给服务器发送GPS信息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服务器可设定发送周期</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SEND_GPS,经度,纬度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92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SEND_ALARM</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接收箱子主动发送的各种异常报警信息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给服务器发送异常报警信息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服务器可设定报警周期</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left"/>
              <w:textAlignment w:val="center"/>
              <w:rPr>
                <w:rFonts w:hint="eastAsia" w:ascii="宋体" w:hAnsi="宋体" w:cs="宋体"/>
                <w:color w:val="000000"/>
                <w:kern w:val="0"/>
                <w:sz w:val="22"/>
                <w:szCs w:val="22"/>
                <w:lang w:bidi="ar"/>
              </w:rPr>
            </w:pP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SEND_ALARM,0/1/2/3</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r>
        <w:tblPrEx>
          <w:tblLayout w:type="fixed"/>
          <w:tblCellMar>
            <w:top w:w="0" w:type="dxa"/>
            <w:left w:w="0" w:type="dxa"/>
            <w:bottom w:w="0" w:type="dxa"/>
            <w:right w:w="0" w:type="dxa"/>
          </w:tblCellMar>
        </w:tblPrEx>
        <w:trPr>
          <w:trHeight w:val="312" w:hRule="atLeast"/>
        </w:trPr>
        <w:tc>
          <w:tcPr>
            <w:tcW w:w="1736"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SEND_QUALITY</w:t>
            </w:r>
          </w:p>
        </w:tc>
        <w:tc>
          <w:tcPr>
            <w:tcW w:w="1405"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接收箱子主动发送的重量信息</w:t>
            </w:r>
          </w:p>
        </w:tc>
        <w:tc>
          <w:tcPr>
            <w:tcW w:w="1371"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给服务器发送重量信息</w:t>
            </w:r>
          </w:p>
        </w:tc>
        <w:tc>
          <w:tcPr>
            <w:tcW w:w="1751"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服务器可设定称重模式下每次盖上盖子发送自身重量信息或者设定自动发送重量信息周期</w:t>
            </w:r>
          </w:p>
        </w:tc>
        <w:tc>
          <w:tcPr>
            <w:tcW w:w="2111"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textAlignment w:val="center"/>
              <w:rPr>
                <w:rFonts w:hint="eastAsia" w:ascii="宋体" w:hAnsi="宋体" w:cs="宋体"/>
                <w:color w:val="000000"/>
                <w:kern w:val="0"/>
                <w:sz w:val="22"/>
                <w:szCs w:val="22"/>
                <w:lang w:bidi="ar"/>
              </w:rPr>
            </w:pPr>
          </w:p>
          <w:p>
            <w:pPr>
              <w:widowControl/>
              <w:spacing w:line="23" w:lineRule="atLeas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 xml:space="preserve">#设备ID, </w:t>
            </w:r>
          </w:p>
          <w:p>
            <w:pPr>
              <w:widowControl/>
              <w:spacing w:line="23" w:lineRule="atLeast"/>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SEND_QUALITY,重量(.kg)</w:t>
            </w:r>
          </w:p>
        </w:tc>
      </w:tr>
      <w:tr>
        <w:tblPrEx>
          <w:tblLayout w:type="fixed"/>
          <w:tblCellMar>
            <w:top w:w="0" w:type="dxa"/>
            <w:left w:w="0" w:type="dxa"/>
            <w:bottom w:w="0" w:type="dxa"/>
            <w:right w:w="0" w:type="dxa"/>
          </w:tblCellMar>
        </w:tblPrEx>
        <w:trPr>
          <w:trHeight w:val="312" w:hRule="atLeast"/>
        </w:trPr>
        <w:tc>
          <w:tcPr>
            <w:tcW w:w="1736" w:type="dxa"/>
            <w:vMerge w:val="continue"/>
            <w:tcBorders>
              <w:left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kern w:val="0"/>
                <w:sz w:val="22"/>
                <w:szCs w:val="22"/>
                <w:lang w:bidi="ar"/>
              </w:rPr>
            </w:pPr>
          </w:p>
        </w:tc>
        <w:tc>
          <w:tcPr>
            <w:tcW w:w="1405" w:type="dxa"/>
            <w:vMerge w:val="continue"/>
            <w:tcBorders>
              <w:left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kern w:val="0"/>
                <w:sz w:val="22"/>
                <w:szCs w:val="22"/>
                <w:lang w:bidi="ar"/>
              </w:rPr>
            </w:pPr>
          </w:p>
        </w:tc>
        <w:tc>
          <w:tcPr>
            <w:tcW w:w="1371" w:type="dxa"/>
            <w:vMerge w:val="continue"/>
            <w:tcBorders>
              <w:left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kern w:val="0"/>
                <w:sz w:val="22"/>
                <w:szCs w:val="22"/>
                <w:lang w:bidi="ar"/>
              </w:rPr>
            </w:pPr>
          </w:p>
        </w:tc>
        <w:tc>
          <w:tcPr>
            <w:tcW w:w="1751" w:type="dxa"/>
            <w:vMerge w:val="continue"/>
            <w:tcBorders>
              <w:left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kern w:val="0"/>
                <w:sz w:val="22"/>
                <w:szCs w:val="22"/>
                <w:lang w:bidi="ar"/>
              </w:rPr>
            </w:pPr>
          </w:p>
        </w:tc>
        <w:tc>
          <w:tcPr>
            <w:tcW w:w="2111" w:type="dxa"/>
            <w:vMerge w:val="continue"/>
            <w:tcBorders>
              <w:left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kern w:val="0"/>
                <w:sz w:val="22"/>
                <w:szCs w:val="22"/>
                <w:lang w:bidi="ar"/>
              </w:rPr>
            </w:pPr>
          </w:p>
        </w:tc>
      </w:tr>
      <w:tr>
        <w:tblPrEx>
          <w:tblLayout w:type="fixed"/>
          <w:tblCellMar>
            <w:top w:w="0" w:type="dxa"/>
            <w:left w:w="0" w:type="dxa"/>
            <w:bottom w:w="0" w:type="dxa"/>
            <w:right w:w="0" w:type="dxa"/>
          </w:tblCellMar>
        </w:tblPrEx>
        <w:trPr>
          <w:trHeight w:val="312" w:hRule="atLeast"/>
        </w:trPr>
        <w:tc>
          <w:tcPr>
            <w:tcW w:w="1736" w:type="dxa"/>
            <w:vMerge w:val="continue"/>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jc w:val="center"/>
              <w:rPr>
                <w:rFonts w:hint="eastAsia" w:ascii="宋体" w:hAnsi="宋体" w:cs="宋体"/>
                <w:color w:val="000000"/>
                <w:sz w:val="22"/>
                <w:szCs w:val="22"/>
              </w:rPr>
            </w:pPr>
          </w:p>
        </w:tc>
        <w:tc>
          <w:tcPr>
            <w:tcW w:w="1405" w:type="dxa"/>
            <w:vMerge w:val="continue"/>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jc w:val="center"/>
              <w:rPr>
                <w:rFonts w:hint="eastAsia" w:ascii="宋体" w:hAnsi="宋体" w:cs="宋体"/>
                <w:color w:val="000000"/>
                <w:sz w:val="22"/>
                <w:szCs w:val="22"/>
              </w:rPr>
            </w:pPr>
          </w:p>
        </w:tc>
        <w:tc>
          <w:tcPr>
            <w:tcW w:w="1371" w:type="dxa"/>
            <w:vMerge w:val="continue"/>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jc w:val="center"/>
              <w:rPr>
                <w:rFonts w:hint="eastAsia" w:ascii="宋体" w:hAnsi="宋体" w:cs="宋体"/>
                <w:color w:val="000000"/>
                <w:sz w:val="22"/>
                <w:szCs w:val="22"/>
              </w:rPr>
            </w:pPr>
          </w:p>
        </w:tc>
        <w:tc>
          <w:tcPr>
            <w:tcW w:w="1751" w:type="dxa"/>
            <w:vMerge w:val="continue"/>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jc w:val="center"/>
              <w:rPr>
                <w:rFonts w:hint="eastAsia" w:ascii="宋体" w:hAnsi="宋体" w:cs="宋体"/>
                <w:color w:val="000000"/>
                <w:sz w:val="22"/>
                <w:szCs w:val="22"/>
              </w:rPr>
            </w:pPr>
          </w:p>
        </w:tc>
        <w:tc>
          <w:tcPr>
            <w:tcW w:w="2111" w:type="dxa"/>
            <w:vMerge w:val="continue"/>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jc w:val="center"/>
              <w:rPr>
                <w:rFonts w:hint="eastAsia" w:ascii="宋体" w:hAnsi="宋体" w:cs="宋体"/>
                <w:color w:val="000000"/>
                <w:sz w:val="22"/>
                <w:szCs w:val="22"/>
              </w:rPr>
            </w:pPr>
          </w:p>
        </w:tc>
      </w:tr>
      <w:tr>
        <w:tblPrEx>
          <w:tblLayout w:type="fixed"/>
          <w:tblCellMar>
            <w:top w:w="0" w:type="dxa"/>
            <w:left w:w="0" w:type="dxa"/>
            <w:bottom w:w="0" w:type="dxa"/>
            <w:right w:w="0" w:type="dxa"/>
          </w:tblCellMar>
        </w:tblPrEx>
        <w:trPr>
          <w:trHeight w:val="931" w:hRule="atLeast"/>
        </w:trPr>
        <w:tc>
          <w:tcPr>
            <w:tcW w:w="173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SEND_COVER_STATUS</w:t>
            </w:r>
          </w:p>
        </w:tc>
        <w:tc>
          <w:tcPr>
            <w:tcW w:w="14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接收箱子主动发送的箱盖状态信息</w:t>
            </w:r>
          </w:p>
        </w:tc>
        <w:tc>
          <w:tcPr>
            <w:tcW w:w="137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给服务器发送箱盖状态信息</w:t>
            </w:r>
          </w:p>
        </w:tc>
        <w:tc>
          <w:tcPr>
            <w:tcW w:w="175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服务器发送锁箱时，可本地先判断是否盖箱</w:t>
            </w:r>
          </w:p>
        </w:tc>
        <w:tc>
          <w:tcPr>
            <w:tcW w:w="211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spacing w:line="23" w:lineRule="atLeast"/>
              <w:textAlignment w:val="center"/>
              <w:rPr>
                <w:rFonts w:hint="eastAsia" w:ascii="宋体" w:hAnsi="宋体" w:cs="宋体"/>
                <w:color w:val="000000"/>
                <w:kern w:val="0"/>
                <w:sz w:val="22"/>
                <w:szCs w:val="22"/>
                <w:lang w:bidi="ar"/>
              </w:rPr>
            </w:pPr>
          </w:p>
          <w:p>
            <w:pPr>
              <w:widowControl/>
              <w:spacing w:line="23" w:lineRule="atLeas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#设备ID, 　</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SEND_COVER_STATUS,0/1，需要确认服务器成功接收，否则重发。</w:t>
            </w:r>
          </w:p>
          <w:p>
            <w:pPr>
              <w:widowControl/>
              <w:spacing w:line="23" w:lineRule="atLeast"/>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梁工" w:date="2017-08-16T14:05:00Z" w:initials="A">
    <w:p>
      <w:pPr>
        <w:pStyle w:val="2"/>
        <w:rPr>
          <w:rFonts w:hint="eastAsia"/>
        </w:rPr>
      </w:pPr>
      <w:r>
        <w:rPr>
          <w:rFonts w:hint="eastAsia"/>
        </w:rPr>
        <w:t>写入服务端指定的用户区域信息具体内容是什么?需要存储空间多大?</w:t>
      </w:r>
    </w:p>
    <w:p>
      <w:pPr>
        <w:pStyle w:val="2"/>
        <w:rPr>
          <w:rFonts w:hint="eastAsia"/>
        </w:rPr>
      </w:pPr>
      <w:r>
        <w:rPr>
          <w:rFonts w:hint="eastAsia"/>
        </w:rPr>
        <w:t>写入服务端指定的用户区域信息具体内容是什么?需要存储空间多大?</w:t>
      </w:r>
    </w:p>
    <w:p>
      <w:pPr>
        <w:pStyle w:val="2"/>
      </w:pPr>
      <w:r>
        <w:rPr>
          <w:rFonts w:hint="eastAsia"/>
        </w:rPr>
        <w:t>答：</w:t>
      </w:r>
    </w:p>
    <w:p>
      <w:pPr>
        <w:pStyle w:val="2"/>
        <w:rPr>
          <w:rFonts w:hint="eastAsia"/>
        </w:rPr>
      </w:pPr>
      <w:r>
        <w:rPr>
          <w:rFonts w:hint="eastAsia"/>
        </w:rPr>
        <w:t>用户区域的内容保存所有需要配置的信息，根据规格书的说明，有如下的信息：</w:t>
      </w:r>
    </w:p>
    <w:p>
      <w:pPr>
        <w:pStyle w:val="2"/>
      </w:pPr>
    </w:p>
    <w:p>
      <w:pPr>
        <w:pStyle w:val="2"/>
        <w:rPr>
          <w:rFonts w:hint="eastAsia"/>
        </w:rPr>
      </w:pPr>
      <w:r>
        <w:rPr>
          <w:rFonts w:hint="eastAsia"/>
        </w:rPr>
        <w:t>0、箱子ID号（4个字节，初始为0x00000000）。</w:t>
      </w:r>
    </w:p>
    <w:p>
      <w:pPr>
        <w:pStyle w:val="2"/>
        <w:rPr>
          <w:rFonts w:hint="eastAsia"/>
        </w:rPr>
      </w:pPr>
      <w:r>
        <w:rPr>
          <w:rFonts w:hint="eastAsia"/>
        </w:rPr>
        <w:t>1、域名（字符串类型，最大30字节,初始值为0x00）。</w:t>
      </w:r>
    </w:p>
    <w:p>
      <w:pPr>
        <w:pStyle w:val="2"/>
        <w:rPr>
          <w:rFonts w:hint="eastAsia"/>
        </w:rPr>
      </w:pPr>
      <w:r>
        <w:rPr>
          <w:rFonts w:hint="eastAsia"/>
        </w:rPr>
        <w:t>2、固定IP地址，默认192.168.1.111</w:t>
      </w:r>
    </w:p>
    <w:p>
      <w:pPr>
        <w:pStyle w:val="2"/>
        <w:rPr>
          <w:rFonts w:hint="eastAsia"/>
        </w:rPr>
      </w:pPr>
      <w:r>
        <w:rPr>
          <w:rFonts w:hint="eastAsia"/>
        </w:rPr>
        <w:t>3、GPS轨迹跟踪模块的上传周期，单位秒，范围0-255，初始值5秒。</w:t>
      </w:r>
    </w:p>
    <w:p>
      <w:pPr>
        <w:pStyle w:val="2"/>
        <w:rPr>
          <w:rFonts w:hint="eastAsia"/>
        </w:rPr>
      </w:pPr>
      <w:r>
        <w:rPr>
          <w:rFonts w:hint="eastAsia"/>
        </w:rPr>
        <w:t>4、称重模块的重量读取周期，单位秒，范围0-255，初始值10秒。</w:t>
      </w:r>
    </w:p>
    <w:p>
      <w:pPr>
        <w:pStyle w:val="2"/>
        <w:rPr>
          <w:rFonts w:hint="eastAsia"/>
        </w:rPr>
      </w:pPr>
      <w:r>
        <w:rPr>
          <w:rFonts w:hint="eastAsia"/>
        </w:rPr>
        <w:t>5、称重模块变化上传下限值，单位克，范围0-500。</w:t>
      </w:r>
    </w:p>
    <w:p>
      <w:pPr>
        <w:pStyle w:val="2"/>
        <w:rPr>
          <w:rFonts w:hint="eastAsia"/>
        </w:rPr>
      </w:pPr>
      <w:r>
        <w:rPr>
          <w:rFonts w:hint="eastAsia"/>
        </w:rPr>
        <w:t>6、移动报警模块的查询周期，单位秒，范围0-255，初始值30秒。</w:t>
      </w:r>
    </w:p>
    <w:p>
      <w:pPr>
        <w:pStyle w:val="2"/>
        <w:rPr>
          <w:rFonts w:hint="eastAsia"/>
        </w:rPr>
      </w:pPr>
      <w:r>
        <w:rPr>
          <w:rFonts w:hint="eastAsia"/>
        </w:rPr>
        <w:t>7、移动报警模块的移动报警距离下限，单位米，范围0-1000，初始值100米。</w:t>
      </w:r>
    </w:p>
    <w:p>
      <w:pPr>
        <w:pStyle w:val="2"/>
        <w:rPr>
          <w:rFonts w:hint="eastAsia"/>
        </w:rPr>
      </w:pPr>
      <w:r>
        <w:rPr>
          <w:rFonts w:hint="eastAsia"/>
        </w:rPr>
        <w:t>8、振动、倾斜报警模块的倾斜角度上限，单位角度，范围0-90？，初始值45度。</w:t>
      </w:r>
    </w:p>
    <w:p>
      <w:pPr>
        <w:pStyle w:val="2"/>
        <w:rPr>
          <w:rFonts w:hint="eastAsia"/>
        </w:rPr>
      </w:pPr>
      <w:r>
        <w:rPr>
          <w:rFonts w:hint="eastAsia"/>
        </w:rPr>
        <w:t>9、振动、倾斜报警模块的重力加速度上限，单位乙方给出，范围乙方给出。</w:t>
      </w:r>
    </w:p>
    <w:p>
      <w:pPr>
        <w:pStyle w:val="2"/>
        <w:rPr>
          <w:rFonts w:hint="eastAsia"/>
        </w:rPr>
      </w:pPr>
      <w:r>
        <w:rPr>
          <w:rFonts w:hint="eastAsia"/>
        </w:rPr>
        <w:t>10、低电量报警模块的电量监测周期，单位天。</w:t>
      </w:r>
    </w:p>
    <w:p>
      <w:pPr>
        <w:pStyle w:val="2"/>
        <w:rPr>
          <w:rFonts w:hint="eastAsia"/>
        </w:rPr>
      </w:pPr>
      <w:r>
        <w:rPr>
          <w:rFonts w:hint="eastAsia"/>
        </w:rPr>
        <w:t>11、低电量报警模块的电路报警下限，百分比，0-100。初始值30</w:t>
      </w:r>
    </w:p>
    <w:p>
      <w:pPr>
        <w:pStyle w:val="2"/>
        <w:rPr>
          <w:rFonts w:hint="eastAsia"/>
        </w:rPr>
      </w:pPr>
      <w:r>
        <w:rPr>
          <w:rFonts w:hint="eastAsia"/>
        </w:rPr>
        <w:t>12、Rsa加密公钥。（需要明确设备端加密的方式，可能需要增加读写接口）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swiss"/>
    <w:pitch w:val="default"/>
    <w:sig w:usb0="80000287" w:usb1="28C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E418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2017-11-08T10:42:37Z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