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left"/>
      </w:pPr>
      <w:r>
        <w:rPr>
          <w:b/>
          <w:color w:val="C8A24C"/>
          <w:sz w:val="56"/>
          <w:rtl/>
          <w:lang w:bidi="ar-SA"/>
        </w:rPr>
        <w:t>MY4 Education</w:t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مقترح شراكة رسمية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وزارة التضامن الاجتماعي — جمهورية مصر العربية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تأهيل الشباب وتمكينهم اقتصادياً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من قاعة الدارس إلى سوق العمل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تاريخ الإصدار: يونيو ٢٠٢٦  |  إعداد: MY4 Education (س.م.م رقم 157843)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ملخص تنفيذي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الأزمة واضحة — الحل موجود — الطلب محدد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تطلب MY4 Education — شركة مصرية مسجلة (س.م.م رقم 157843) — شراكةً رسمية مع وزارة التضامن الاجتماعي لتشغيل برنامجها المُثبَت في تأهيل الشباب للتوظيف.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المطلوب: اتفاقية شراكة + إتاحة 3 مراكز تدريبية + إدراج ضمن برنامج ستارت 2026. التكلفة على الوزارة: 3.6 مليون جنيه للمرحلة التجريبية (300 متدرب / 10 أشهر). العائد المتوقع: 255 متدرباً موظفاً خلال 90 يوماً من إتمام البرنامج.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  <w:tcMar/>
          </w:tcPr>
          <w:p>
            <w:pPr>
              <w:bidi/>
              <w:jc w:val="left"/>
            </w:pPr>
            <w:r>
              <w:rPr>
                <w:b/>
                <w:color w:val="C8A24C"/>
                <w:sz w:val="56"/>
                <w:rtl/>
                <w:lang w:bidi="ar-SA"/>
              </w:rPr>
              <w:t>13.2%</w:t>
            </w:r>
          </w:p>
        </w:tc>
        <w:tc>
          <w:tcPr>
            <w:tcW w:type="dxa" w:w="3120"/>
            <w:shd w:val="clear" w:color="auto" w:fill="0E0E0E"/>
            <w:tcMar/>
          </w:tcPr>
          <w:p>
            <w:pPr>
              <w:bidi/>
              <w:jc w:val="left"/>
            </w:pPr>
            <w:r>
              <w:rPr>
                <w:b/>
                <w:color w:val="C8A24C"/>
                <w:sz w:val="56"/>
                <w:rtl/>
                <w:lang w:bidi="ar-SA"/>
              </w:rPr>
              <w:t>16.9%</w:t>
            </w:r>
          </w:p>
        </w:tc>
        <w:tc>
          <w:tcPr>
            <w:tcW w:type="dxa" w:w="3120"/>
            <w:shd w:val="clear" w:color="auto" w:fill="0E0E0E"/>
            <w:tcMar/>
          </w:tcPr>
          <w:p>
            <w:pPr>
              <w:bidi/>
              <w:jc w:val="left"/>
            </w:pPr>
            <w:r>
              <w:rPr>
                <w:b/>
                <w:color w:val="C8A24C"/>
                <w:sz w:val="56"/>
                <w:rtl/>
                <w:lang w:bidi="ar-SA"/>
              </w:rPr>
              <w:t>33.8%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color w:val="FFFFFF"/>
                <w:sz w:val="20"/>
                <w:rtl/>
                <w:lang w:bidi="ar-SA"/>
              </w:rPr>
              <w:t>معدل بطالة الشباب — مصر 2025</w:t>
            </w:r>
          </w:p>
          <w:p>
            <w:pPr>
              <w:bidi/>
              <w:jc w:val="left"/>
            </w:pPr>
            <w:r>
              <w:rPr>
                <w:i/>
                <w:color w:val="C8A24C"/>
                <w:sz w:val="16"/>
                <w:rtl/>
                <w:lang w:bidi="ar-SA"/>
              </w:rPr>
              <w:t>CAPMAS Q1 2025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color w:val="FFFFFF"/>
                <w:sz w:val="20"/>
                <w:rtl/>
                <w:lang w:bidi="ar-SA"/>
              </w:rPr>
              <w:t>بطالة الفئة 20–24 سنة</w:t>
            </w:r>
          </w:p>
          <w:p>
            <w:pPr>
              <w:bidi/>
              <w:jc w:val="left"/>
            </w:pPr>
            <w:r>
              <w:rPr>
                <w:i/>
                <w:color w:val="C8A24C"/>
                <w:sz w:val="16"/>
                <w:rtl/>
                <w:lang w:bidi="ar-SA"/>
              </w:rPr>
              <w:t>CAPMAS Q1 2025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color w:val="FFFFFF"/>
                <w:sz w:val="20"/>
                <w:rtl/>
                <w:lang w:bidi="ar-SA"/>
              </w:rPr>
              <w:t>بطالة الشابات — الأعلى منذ 2015</w:t>
            </w:r>
          </w:p>
          <w:p>
            <w:pPr>
              <w:bidi/>
              <w:jc w:val="left"/>
            </w:pPr>
            <w:r>
              <w:rPr>
                <w:i/>
                <w:color w:val="C8A24C"/>
                <w:sz w:val="16"/>
                <w:rtl/>
                <w:lang w:bidi="ar-SA"/>
              </w:rPr>
              <w:t>CAPMAS Q1 2025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01 · الإشكالية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الشهادة وحدها لا تصنع فرصة عمل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الأرقام تحدد الأزمة بدقة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  <w:tcMar/>
          </w:tcPr>
          <w:p>
            <w:pPr>
              <w:bidi/>
              <w:jc w:val="left"/>
            </w:pPr>
            <w:r>
              <w:rPr>
                <w:b/>
                <w:color w:val="C8A24C"/>
                <w:sz w:val="56"/>
                <w:rtl/>
                <w:lang w:bidi="ar-SA"/>
              </w:rPr>
              <w:t>1.2M</w:t>
            </w:r>
          </w:p>
        </w:tc>
        <w:tc>
          <w:tcPr>
            <w:tcW w:type="dxa" w:w="3120"/>
            <w:shd w:val="clear" w:color="auto" w:fill="0E0E0E"/>
            <w:tcMar/>
          </w:tcPr>
          <w:p>
            <w:pPr>
              <w:bidi/>
              <w:jc w:val="left"/>
            </w:pPr>
            <w:r>
              <w:rPr>
                <w:b/>
                <w:color w:val="C8A24C"/>
                <w:sz w:val="56"/>
                <w:rtl/>
                <w:lang w:bidi="ar-SA"/>
              </w:rPr>
              <w:t>72%</w:t>
            </w:r>
          </w:p>
        </w:tc>
        <w:tc>
          <w:tcPr>
            <w:tcW w:type="dxa" w:w="3120"/>
            <w:shd w:val="clear" w:color="auto" w:fill="0E0E0E"/>
            <w:tcMar/>
          </w:tcPr>
          <w:p>
            <w:pPr>
              <w:bidi/>
              <w:jc w:val="left"/>
            </w:pPr>
            <w:r>
              <w:rPr>
                <w:b/>
                <w:color w:val="C8A24C"/>
                <w:sz w:val="56"/>
                <w:rtl/>
                <w:lang w:bidi="ar-SA"/>
              </w:rPr>
              <w:t>70%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color w:val="FFFFFF"/>
                <w:sz w:val="20"/>
                <w:rtl/>
                <w:lang w:bidi="ar-SA"/>
              </w:rPr>
              <w:t>شاب مصري عاطل رغم المؤهلات</w:t>
            </w:r>
          </w:p>
          <w:p>
            <w:pPr>
              <w:bidi/>
              <w:jc w:val="left"/>
            </w:pPr>
            <w:r>
              <w:rPr>
                <w:i/>
                <w:color w:val="C8A24C"/>
                <w:sz w:val="16"/>
                <w:rtl/>
                <w:lang w:bidi="ar-SA"/>
              </w:rPr>
              <w:t>CAPMAS 2025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color w:val="FFFFFF"/>
                <w:sz w:val="20"/>
                <w:rtl/>
                <w:lang w:bidi="ar-SA"/>
              </w:rPr>
              <w:t>أصحاب عمل: الخريجون غير مؤهلين عملياً</w:t>
            </w:r>
          </w:p>
          <w:p>
            <w:pPr>
              <w:bidi/>
              <w:jc w:val="left"/>
            </w:pPr>
            <w:r>
              <w:rPr>
                <w:i/>
                <w:color w:val="C8A24C"/>
                <w:sz w:val="16"/>
                <w:rtl/>
                <w:lang w:bidi="ar-SA"/>
              </w:rPr>
              <w:t>CAPMAS 2025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color w:val="FFFFFF"/>
                <w:sz w:val="20"/>
                <w:rtl/>
                <w:lang w:bidi="ar-SA"/>
              </w:rPr>
              <w:t>أسباب الفشل: نقص المهارات لا نقص الفرص</w:t>
            </w:r>
          </w:p>
          <w:p>
            <w:pPr>
              <w:bidi/>
              <w:jc w:val="left"/>
            </w:pPr>
            <w:r>
              <w:rPr>
                <w:i/>
                <w:color w:val="C8A24C"/>
                <w:sz w:val="16"/>
                <w:rtl/>
                <w:lang w:bidi="ar-SA"/>
              </w:rPr>
              <w:t>ILO 2024</w:t>
            </w:r>
          </w:p>
        </w:tc>
      </w:tr>
    </w:tbl>
    <w:p>
      <w:pPr>
        <w:bidi/>
        <w:jc w:val="left"/>
      </w:pP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4500"/>
        <w:gridCol w:w="1200"/>
        <w:gridCol w:w="3326"/>
      </w:tblGrid>
      <w:tblGrid>
        <w:gridCol w:w="3120"/>
        <w:gridCol w:w="3120"/>
        <w:gridCol w:w="3120"/>
      </w:tblGrid>
      <w:tr>
        <w:tc>
          <w:tcPr>
            <w:tcW w:type="dxa" w:w="9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الدلالة</w:t>
            </w:r>
          </w:p>
        </w:tc>
        <w:tc>
          <w:tcPr>
            <w:tcW w:type="dxa" w:w="2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الرقم</w:t>
            </w:r>
          </w:p>
        </w:tc>
        <w:tc>
          <w:tcPr>
            <w:tcW w:type="dxa" w:w="6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المصدر</w:t>
            </w:r>
          </w:p>
        </w:tc>
      </w:tr>
      <w:tr>
        <w:tc>
          <w:tcPr>
            <w:tcW w:type="dxa" w:w="9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شاب مصري عاطل عن العمل رغم المؤهلات</w:t>
            </w:r>
          </w:p>
        </w:tc>
        <w:tc>
          <w:tcPr>
            <w:tcW w:type="dxa" w:w="2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1.2M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 2025</w:t>
            </w:r>
          </w:p>
        </w:tc>
      </w:tr>
      <w:tr>
        <w:tc>
          <w:tcPr>
            <w:tcW w:type="dxa" w:w="9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بطالة خريجي الجامعات تحديداً</w:t>
            </w:r>
          </w:p>
        </w:tc>
        <w:tc>
          <w:tcPr>
            <w:tcW w:type="dxa" w:w="2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16.8%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 2025</w:t>
            </w:r>
          </w:p>
        </w:tc>
      </w:tr>
      <w:tr>
        <w:tc>
          <w:tcPr>
            <w:tcW w:type="dxa" w:w="9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 أصحاب العمل: الخريجون غير مؤهلين عملياً</w:t>
            </w:r>
          </w:p>
        </w:tc>
        <w:tc>
          <w:tcPr>
            <w:tcW w:type="dxa" w:w="2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72%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CAPMAS 2025</w:t>
            </w:r>
          </w:p>
        </w:tc>
      </w:tr>
      <w:tr>
        <w:tc>
          <w:tcPr>
            <w:tcW w:type="dxa" w:w="9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وحدة جامعية تضامن اجتماعي تخدم 250,000 طالب</w:t>
            </w:r>
          </w:p>
        </w:tc>
        <w:tc>
          <w:tcPr>
            <w:tcW w:type="dxa" w:w="2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31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وزارة التضامن 2026</w:t>
            </w:r>
          </w:p>
        </w:tc>
      </w:tr>
      <w:tr>
        <w:tc>
          <w:tcPr>
            <w:tcW w:type="dxa" w:w="9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 أسباب الفشل المهني: نقص المهارات لا نقص الفرص</w:t>
            </w:r>
          </w:p>
        </w:tc>
        <w:tc>
          <w:tcPr>
            <w:tcW w:type="dxa" w:w="2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70%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ILO 2024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02 · الحل والمنهج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نموذج مُثبَت ومنهج معتمد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كيف يعمل النموذج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200"/>
        <w:gridCol w:w="6826"/>
      </w:tblGrid>
      <w:tblGrid>
        <w:gridCol w:w="4680"/>
        <w:gridCol w:w="4680"/>
      </w:tblGrid>
      <w:tr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المرحلة</w:t>
            </w:r>
          </w:p>
        </w:tc>
        <w:tc>
          <w:tcPr>
            <w:tcW w:type="dxa" w:w="13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الوصف</w:t>
            </w:r>
          </w:p>
        </w:tc>
      </w:tr>
      <w:tr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01 — التشخيص</w:t>
            </w:r>
          </w:p>
        </w:tc>
        <w:tc>
          <w:tcPr>
            <w:tcW w:type="dxa" w:w="13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تحليل احتياجات المنطقة وأصحاب العمل — مسار مخصص لكل دفعة قبل بدء التدريب</w:t>
            </w:r>
          </w:p>
        </w:tc>
      </w:tr>
      <w:tr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02 — التدريب</w:t>
            </w:r>
          </w:p>
        </w:tc>
        <w:tc>
          <w:tcPr>
            <w:tcW w:type="dxa" w:w="13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8 أسابيع مكثفة: مهارات رقمية + ناعمة + محاكاة بيئة العمل الفعلية</w:t>
            </w:r>
          </w:p>
        </w:tc>
      </w:tr>
      <w:tr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03 — التوظيف</w:t>
            </w:r>
          </w:p>
        </w:tc>
        <w:tc>
          <w:tcPr>
            <w:tcW w:type="dxa" w:w="13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ربط مضمون بأصحاب العمل الشركاء + متابعة موثقة 90 يوماً بعد الالتحاق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الدمج بين التدريب النظري والتطبيق الفعلي يرفع معدل التوظيف 52%+ مقارنةً بالتدريب التقليدي (IFC: Workforce Development Report, 2024, p.47). النموذج مُطبَّق بالفعل مع AASTMT — 200+ متدرب — تقرير التقييم متاح للمراجعة.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المنهج الدراسي — 8 أسابيع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800"/>
        <w:gridCol w:w="2200"/>
        <w:gridCol w:w="5026"/>
      </w:tblGrid>
      <w:tblGrid>
        <w:gridCol w:w="3120"/>
        <w:gridCol w:w="3120"/>
        <w:gridCol w:w="3120"/>
      </w:tblGrid>
      <w:tr>
        <w:tc>
          <w:tcPr>
            <w:tcW w:type="dxa" w:w="3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الفترة</w:t>
            </w:r>
          </w:p>
        </w:tc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المحور</w:t>
            </w:r>
          </w:p>
        </w:tc>
        <w:tc>
          <w:tcPr>
            <w:tcW w:type="dxa" w:w="10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المحتوى</w:t>
            </w:r>
          </w:p>
        </w:tc>
      </w:tr>
      <w:tr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1–2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المهارات الرقمية الأساسية</w:t>
            </w:r>
          </w:p>
        </w:tc>
        <w:tc>
          <w:tcPr>
            <w:tcW w:type="dxa" w:w="10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Microsoft 365 · Google Workspace · Trello/Notion · البريد المهني</w:t>
            </w:r>
          </w:p>
        </w:tc>
      </w:tr>
      <w:tr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3–4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المهارات الناعمة</w:t>
            </w:r>
          </w:p>
        </w:tc>
        <w:tc>
          <w:tcPr>
            <w:tcW w:type="dxa" w:w="10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العروض التقديمية · إدارة الوقت · العمل الجماعي · التفاوض</w:t>
            </w:r>
          </w:p>
        </w:tc>
      </w:tr>
      <w:tr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5–6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المسار التخصصي (3 مسارات)</w:t>
            </w:r>
          </w:p>
        </w:tc>
        <w:tc>
          <w:tcPr>
            <w:tcW w:type="dxa" w:w="10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إدارة الأعمال / التسويق الرقمي / دعم تقنية المعلومات</w:t>
            </w:r>
          </w:p>
        </w:tc>
      </w:tr>
      <w:tr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الأسبوع 7–8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التوظيف والتقييم</w:t>
            </w:r>
          </w:p>
        </w:tc>
        <w:tc>
          <w:tcPr>
            <w:tcW w:type="dxa" w:w="10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إعداد السيرة الذاتية · محاكاة المقابلات · ربط بأصحاب العمل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المسار النسائي المخصص: تدريب عن بُعد جزئياً + مدربات معتمدات + جداول مرنة — يستهدف الشابات (بطالة 33.8%)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الشهادة: اجتياز اختبار ECDL-مصر عند نهاية البرنامج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03 · إثبات النموذج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الأكاديمية العربية — نتائج موثقة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التجربة الريادية (2024–2025)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شراكة رسمية مع الأكاديمية العربية للعلوم والتكنولوجيا والنقل البحري (AASTMT). المقاييس مستخرجة من تقرير AASTMT لمركز تطوير الكفاءات، مارس 2025.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85% من المتدربين وجدوا وظيفة خلال 90 يوماً من إتمام البرنامج (170 من أصل 200)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200+ متدرب في 3 دفعات متتالية — Q2 2024 حتى Q1 2025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4.8 / 5.0 متوسط تقييم رضا المتدربين (استبيان مستقل، n=196)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16 صاحب عمل من القطاعين الخاص والحكومي وقّعوا خطابات توظيف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أصحاب العمل الشركاء — الدفعات الثلاث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800"/>
        <w:gridCol w:w="6226"/>
      </w:tblGrid>
      <w:tblGrid>
        <w:gridCol w:w="4680"/>
        <w:gridCol w:w="4680"/>
      </w:tblGrid>
      <w:tr>
        <w:tc>
          <w:tcPr>
            <w:tcW w:type="dxa" w:w="5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القطاع</w:t>
            </w:r>
          </w:p>
        </w:tc>
        <w:tc>
          <w:tcPr>
            <w:tcW w:type="dxa" w:w="124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الشركاء</w:t>
            </w:r>
          </w:p>
        </w:tc>
      </w:tr>
      <w:tr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تقنية المعلومات والاتصالات</w:t>
            </w:r>
          </w:p>
        </w:tc>
        <w:tc>
          <w:tcPr>
            <w:tcW w:type="dxa" w:w="12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Vodafone Egypt · Raya Holding · ITWorx · Valeo Egypt</w:t>
            </w:r>
          </w:p>
        </w:tc>
      </w:tr>
      <w:tr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الأعمال والإدارة</w:t>
            </w:r>
          </w:p>
        </w:tc>
        <w:tc>
          <w:tcPr>
            <w:tcW w:type="dxa" w:w="12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Maersk Egypt · DHL Egypt · Americana Group · EGIC</w:t>
            </w:r>
          </w:p>
        </w:tc>
      </w:tr>
      <w:tr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التسويق والإعلام الرقمي</w:t>
            </w:r>
          </w:p>
        </w:tc>
        <w:tc>
          <w:tcPr>
            <w:tcW w:type="dxa" w:w="124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JWT Egypt · Procter &amp; Gamble EGY · Unilever Egypt · Publicis</w:t>
            </w:r>
          </w:p>
        </w:tc>
      </w:tr>
      <w:tr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القطاع الحكومي والمنظمات</w:t>
            </w:r>
          </w:p>
        </w:tc>
        <w:tc>
          <w:tcPr>
            <w:tcW w:type="dxa" w:w="124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ITIDA · MCIT · Injaz Egypt · Nahdet El Mahrousa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خطابات النوايا متاحة للمراجعة · يمكن تزويد الوزارة بنسخ رسمية فور طلبها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04 · الخطة والميزانية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مسار توسع متدرج بأرقام دقيقة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مسار التوسع المتدرج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26"/>
                <w:rtl/>
                <w:lang w:bidi="ar-SA"/>
              </w:rPr>
              <w:t>01  المرحلة التجريبية</w:t>
            </w:r>
          </w:p>
        </w:tc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26"/>
                <w:rtl/>
                <w:lang w:bidi="ar-SA"/>
              </w:rPr>
              <w:t>02  مرحلة التوسع</w:t>
            </w:r>
          </w:p>
        </w:tc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26"/>
                <w:rtl/>
                <w:lang w:bidi="ar-SA"/>
              </w:rPr>
              <w:t>03  الانطلاق الوطني</w:t>
            </w:r>
          </w:p>
        </w:tc>
      </w:tr>
      <w:tr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32"/>
                <w:rtl/>
                <w:lang w:bidi="ar-SA"/>
              </w:rPr>
              <w:t>300 متدرب</w:t>
            </w:r>
          </w:p>
          <w:p>
            <w:pPr>
              <w:bidi/>
              <w:jc w:val="left"/>
            </w:pPr>
            <w:r>
              <w:rPr>
                <w:color w:val="FFFFFF"/>
                <w:sz w:val="18"/>
                <w:rtl/>
                <w:lang w:bidi="ar-SA"/>
              </w:rPr>
              <w:t>يناير–أكتوبر ٢٠٢٦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32"/>
                <w:rtl/>
                <w:lang w:bidi="ar-SA"/>
              </w:rPr>
              <w:t>1,500 متدرب</w:t>
            </w:r>
          </w:p>
          <w:p>
            <w:pPr>
              <w:bidi/>
              <w:jc w:val="left"/>
            </w:pPr>
            <w:r>
              <w:rPr>
                <w:color w:val="FFFFFF"/>
                <w:sz w:val="18"/>
                <w:rtl/>
                <w:lang w:bidi="ar-SA"/>
              </w:rPr>
              <w:t>يناير–ديسمبر ٢٠٢٧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32"/>
                <w:rtl/>
                <w:lang w:bidi="ar-SA"/>
              </w:rPr>
              <w:t>+5,000 / سنة</w:t>
            </w:r>
          </w:p>
          <w:p>
            <w:pPr>
              <w:bidi/>
              <w:jc w:val="left"/>
            </w:pPr>
            <w:r>
              <w:rPr>
                <w:color w:val="FFFFFF"/>
                <w:sz w:val="18"/>
                <w:rtl/>
                <w:lang w:bidi="ar-SA"/>
              </w:rPr>
              <w:t>٢٠٢٨–٢٠٢٩</w:t>
            </w:r>
          </w:p>
        </w:tc>
      </w:tr>
      <w:tr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color w:val="DDDDDD"/>
                <w:sz w:val="18"/>
                <w:rtl/>
                <w:lang w:bidi="ar-SA"/>
              </w:rPr>
              <w:t>القاهرة · الإسكندرية · الجيزة</w:t>
              <w:br/>
              <w:t>12 مدرباً معتمداً</w:t>
              <w:br/>
              <w:t>تقرير تقييم مستقل</w:t>
            </w:r>
          </w:p>
        </w:tc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color w:val="DDDDDD"/>
                <w:sz w:val="18"/>
                <w:rtl/>
                <w:lang w:bidi="ar-SA"/>
              </w:rPr>
              <w:t>10 مراكز في 6 محافظات</w:t>
              <w:br/>
              <w:t>المسار النسائي المخصص</w:t>
              <w:br/>
              <w:t>ربط ببرنامج ستارت 2026</w:t>
            </w:r>
          </w:p>
        </w:tc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color w:val="DDDDDD"/>
                <w:sz w:val="18"/>
                <w:rtl/>
                <w:lang w:bidi="ar-SA"/>
              </w:rPr>
              <w:t>27 محافظة — 31 وحدة جامعية</w:t>
              <w:br/>
              <w:t>شبكة 100+ صاحب عمل</w:t>
              <w:br/>
              <w:t>تمويل ذاتي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الميزانية التفصيلية — المرحلة الأولى (300 متدرب · 3 مراكز · 10 أشهر)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800"/>
        <w:gridCol w:w="2400"/>
        <w:gridCol w:w="1600"/>
        <w:gridCol w:w="1226"/>
      </w:tblGrid>
      <w:tblGrid>
        <w:gridCol w:w="2340"/>
        <w:gridCol w:w="2340"/>
        <w:gridCol w:w="2340"/>
        <w:gridCol w:w="2340"/>
      </w:tblGrid>
      <w:tr>
        <w:tc>
          <w:tcPr>
            <w:tcW w:type="dxa" w:w="3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18"/>
                <w:rtl/>
                <w:lang w:bidi="ar-SA"/>
              </w:rPr>
              <w:t>البند</w:t>
            </w:r>
          </w:p>
        </w:tc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18"/>
                <w:rtl/>
                <w:lang w:bidi="ar-SA"/>
              </w:rPr>
              <w:t>النسبة المئوية</w:t>
            </w:r>
          </w:p>
        </w:tc>
        <w:tc>
          <w:tcPr>
            <w:tcW w:type="dxa" w:w="1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18"/>
                <w:rtl/>
                <w:lang w:bidi="ar-SA"/>
              </w:rPr>
              <w:t>المبلغ (جنيه)</w:t>
            </w:r>
          </w:p>
        </w:tc>
        <w:tc>
          <w:tcPr>
            <w:tcW w:type="dxa" w:w="1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18"/>
                <w:rtl/>
                <w:lang w:bidi="ar-SA"/>
              </w:rPr>
              <w:t>%</w:t>
            </w:r>
          </w:p>
        </w:tc>
      </w:tr>
      <w:tr>
        <w:tc>
          <w:tcPr>
            <w:tcW w:type="dxa" w:w="38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تطوير المناهج وإعداد المواد التدريبية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rFonts w:ascii="Courier New" w:hAnsi="Courier New"/>
                <w:color w:val="C8A24C"/>
                <w:sz w:val="16"/>
                <w:rtl/>
                <w:lang w:bidi="ar-SA"/>
              </w:rPr>
              <w:t>██░░░░░░░░░░░░░░░░░░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450,000</w:t>
            </w:r>
          </w:p>
        </w:tc>
        <w:tc>
          <w:tcPr>
            <w:tcW w:type="dxa" w:w="1226"/>
            <w:shd w:val="clear" w:color="auto" w:fill="F2F2F2"/>
          </w:tcPr>
          <w:p>
            <w:pPr>
              <w:bidi/>
              <w:jc w:val="left"/>
            </w:pPr>
            <w:r>
              <w:rPr>
                <w:color w:val="A4232A"/>
                <w:sz w:val="18"/>
                <w:rtl/>
                <w:lang w:bidi="ar-SA"/>
              </w:rPr>
              <w:t>12.5%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رواتب المدربين (12 مدرباً × 10 أشهر)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rFonts w:ascii="Courier New" w:hAnsi="Courier New"/>
                <w:color w:val="888888"/>
                <w:sz w:val="16"/>
                <w:rtl/>
                <w:lang w:bidi="ar-SA"/>
              </w:rPr>
              <w:t>███████░░░░░░░░░░░░░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1,200,000</w:t>
            </w:r>
          </w:p>
        </w:tc>
        <w:tc>
          <w:tcPr>
            <w:tcW w:type="dxa" w:w="1226"/>
            <w:shd w:val="clear" w:color="auto" w:fill="FFFFFF"/>
          </w:tcPr>
          <w:p>
            <w:pPr>
              <w:bidi/>
              <w:jc w:val="left"/>
            </w:pPr>
            <w:r>
              <w:rPr>
                <w:color w:val="A4232A"/>
                <w:sz w:val="18"/>
                <w:rtl/>
                <w:lang w:bidi="ar-SA"/>
              </w:rPr>
              <w:t>33.3%</w:t>
            </w:r>
          </w:p>
        </w:tc>
      </w:tr>
      <w:tr>
        <w:tc>
          <w:tcPr>
            <w:tcW w:type="dxa" w:w="38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إيجار وتجهيز المراكز (3 مراكز × 10 أشهر)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rFonts w:ascii="Courier New" w:hAnsi="Courier New"/>
                <w:color w:val="C8A24C"/>
                <w:sz w:val="16"/>
                <w:rtl/>
                <w:lang w:bidi="ar-SA"/>
              </w:rPr>
              <w:t>█████░░░░░░░░░░░░░░░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900,000</w:t>
            </w:r>
          </w:p>
        </w:tc>
        <w:tc>
          <w:tcPr>
            <w:tcW w:type="dxa" w:w="1226"/>
            <w:shd w:val="clear" w:color="auto" w:fill="F2F2F2"/>
          </w:tcPr>
          <w:p>
            <w:pPr>
              <w:bidi/>
              <w:jc w:val="left"/>
            </w:pPr>
            <w:r>
              <w:rPr>
                <w:color w:val="A4232A"/>
                <w:sz w:val="18"/>
                <w:rtl/>
                <w:lang w:bidi="ar-SA"/>
              </w:rPr>
              <w:t>25.0%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التقييم المستقل وإعداد التقارير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rFonts w:ascii="Courier New" w:hAnsi="Courier New"/>
                <w:color w:val="888888"/>
                <w:sz w:val="16"/>
                <w:rtl/>
                <w:lang w:bidi="ar-SA"/>
              </w:rPr>
              <w:t>█░░░░░░░░░░░░░░░░░░░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250,000</w:t>
            </w:r>
          </w:p>
        </w:tc>
        <w:tc>
          <w:tcPr>
            <w:tcW w:type="dxa" w:w="1226"/>
            <w:shd w:val="clear" w:color="auto" w:fill="FFFFFF"/>
          </w:tcPr>
          <w:p>
            <w:pPr>
              <w:bidi/>
              <w:jc w:val="left"/>
            </w:pPr>
            <w:r>
              <w:rPr>
                <w:color w:val="A4232A"/>
                <w:sz w:val="18"/>
                <w:rtl/>
                <w:lang w:bidi="ar-SA"/>
              </w:rPr>
              <w:t>6.9%</w:t>
            </w:r>
          </w:p>
        </w:tc>
      </w:tr>
      <w:tr>
        <w:tc>
          <w:tcPr>
            <w:tcW w:type="dxa" w:w="38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مستلزمات ودعم المتدربين (300 × 500 جنيه)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rFonts w:ascii="Courier New" w:hAnsi="Courier New"/>
                <w:color w:val="C8A24C"/>
                <w:sz w:val="16"/>
                <w:rtl/>
                <w:lang w:bidi="ar-SA"/>
              </w:rPr>
              <w:t>█░░░░░░░░░░░░░░░░░░░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150,000</w:t>
            </w:r>
          </w:p>
        </w:tc>
        <w:tc>
          <w:tcPr>
            <w:tcW w:type="dxa" w:w="1226"/>
            <w:shd w:val="clear" w:color="auto" w:fill="F2F2F2"/>
          </w:tcPr>
          <w:p>
            <w:pPr>
              <w:bidi/>
              <w:jc w:val="left"/>
            </w:pPr>
            <w:r>
              <w:rPr>
                <w:color w:val="A4232A"/>
                <w:sz w:val="18"/>
                <w:rtl/>
                <w:lang w:bidi="ar-SA"/>
              </w:rPr>
              <w:t>4.2%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إدارة المشروع والمصاريف التشغيلية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rFonts w:ascii="Courier New" w:hAnsi="Courier New"/>
                <w:color w:val="888888"/>
                <w:sz w:val="16"/>
                <w:rtl/>
                <w:lang w:bidi="ar-SA"/>
              </w:rPr>
              <w:t>████░░░░░░░░░░░░░░░░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18"/>
                <w:rtl/>
                <w:lang w:bidi="ar-SA"/>
              </w:rPr>
              <w:t>650,000</w:t>
            </w:r>
          </w:p>
        </w:tc>
        <w:tc>
          <w:tcPr>
            <w:tcW w:type="dxa" w:w="1226"/>
            <w:shd w:val="clear" w:color="auto" w:fill="FFFFFF"/>
          </w:tcPr>
          <w:p>
            <w:pPr>
              <w:bidi/>
              <w:jc w:val="left"/>
            </w:pPr>
            <w:r>
              <w:rPr>
                <w:color w:val="A4232A"/>
                <w:sz w:val="18"/>
                <w:rtl/>
                <w:lang w:bidi="ar-SA"/>
              </w:rPr>
              <w:t>18.1%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التكلفة لكل متدرب: 12,000 جنيه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العائد الاقتصادي: 255 متدرباً موظفاً × راتب متوسط 4,500 جنيه/شهر = 1.14M جنيه دخل شهري مُضاف للاقتصاد</w:t>
      </w:r>
    </w:p>
    <w:p>
      <w:pPr>
        <w:spacing w:after="80"/>
        <w:bidi/>
        <w:jc w:val="left"/>
      </w:pPr>
      <w:r>
        <w:rPr>
          <w:b/>
          <w:i w:val="0"/>
          <w:color w:val="A4232A"/>
          <w:sz w:val="22"/>
          <w:rtl/>
          <w:lang w:bidi="ar-SA"/>
        </w:rPr>
        <w:t>بند الاسترداد: إذا نسبة التوظيف &lt; 70% — يُعاد 30% من التمويل الحكومي خلال 60 يوماً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05 · المؤشرات والمتابعة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التزامات قابلة للقياس + بند استرداد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التزاماتنا القابلة للقياس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48"/>
                <w:rtl/>
                <w:lang w:bidi="ar-SA"/>
              </w:rPr>
              <w:t>85%+</w:t>
            </w:r>
          </w:p>
        </w:tc>
        <w:tc>
          <w:tcPr>
            <w:tcW w:type="dxa" w:w="468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48"/>
                <w:rtl/>
                <w:lang w:bidi="ar-SA"/>
              </w:rPr>
              <w:t>4.8/5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color w:val="0E0E0E"/>
                <w:sz w:val="22"/>
                <w:rtl/>
                <w:lang w:bidi="ar-SA"/>
              </w:rPr>
              <w:t>نسبة التوظيف الفعال</w:t>
            </w:r>
          </w:p>
          <w:p>
            <w:pPr>
              <w:bidi/>
              <w:jc w:val="left"/>
            </w:pPr>
            <w:r>
              <w:rPr>
                <w:i/>
                <w:color w:val="A4232A"/>
                <w:sz w:val="18"/>
                <w:rtl/>
                <w:lang w:bidi="ar-SA"/>
              </w:rPr>
              <w:t>خلال 90 يوماً من إتمام التدريب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color w:val="0E0E0E"/>
                <w:sz w:val="22"/>
                <w:rtl/>
                <w:lang w:bidi="ar-SA"/>
              </w:rPr>
              <w:t>رضا المتدربين</w:t>
            </w:r>
          </w:p>
          <w:p>
            <w:pPr>
              <w:bidi/>
              <w:jc w:val="left"/>
            </w:pPr>
            <w:r>
              <w:rPr>
                <w:i/>
                <w:color w:val="A4232A"/>
                <w:sz w:val="18"/>
                <w:rtl/>
                <w:lang w:bidi="ar-SA"/>
              </w:rPr>
              <w:t>تقييم مستقل بعد إتمام البرنامج</w:t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48"/>
                <w:rtl/>
                <w:lang w:bidi="ar-SA"/>
              </w:rPr>
              <w:t>96%+</w:t>
            </w:r>
          </w:p>
        </w:tc>
        <w:tc>
          <w:tcPr>
            <w:tcW w:type="dxa" w:w="468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color w:val="FFFFFF"/>
                <w:sz w:val="48"/>
                <w:rtl/>
                <w:lang w:bidi="ar-SA"/>
              </w:rPr>
              <w:t>+52%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color w:val="0E0E0E"/>
                <w:sz w:val="22"/>
                <w:rtl/>
                <w:lang w:bidi="ar-SA"/>
              </w:rPr>
              <w:t>رضا أصحاب العمل</w:t>
            </w:r>
          </w:p>
          <w:p>
            <w:pPr>
              <w:bidi/>
              <w:jc w:val="left"/>
            </w:pPr>
            <w:r>
              <w:rPr>
                <w:i/>
                <w:color w:val="A4232A"/>
                <w:sz w:val="18"/>
                <w:rtl/>
                <w:lang w:bidi="ar-SA"/>
              </w:rPr>
              <w:t>قياس بعد 6 أشهر من التوظيف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color w:val="0E0E0E"/>
                <w:sz w:val="22"/>
                <w:rtl/>
                <w:lang w:bidi="ar-SA"/>
              </w:rPr>
              <w:t>تحسن معدل التوظيف</w:t>
            </w:r>
          </w:p>
          <w:p>
            <w:pPr>
              <w:bidi/>
              <w:jc w:val="left"/>
            </w:pPr>
            <w:r>
              <w:rPr>
                <w:i/>
                <w:color w:val="A4232A"/>
                <w:sz w:val="18"/>
                <w:rtl/>
                <w:lang w:bidi="ar-SA"/>
              </w:rPr>
              <w:t>فوق المتوسط مقارنةً بالتدريب التقليدي</w:t>
            </w:r>
          </w:p>
        </w:tc>
      </w:tr>
    </w:tbl>
    <w:p>
      <w:pPr>
        <w:bidi/>
        <w:jc w:val="left"/>
      </w:pP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لوحة بيانات حية للوزارة تُحدَّث شهرياً (Google Looker Studio)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تقارير ربع سنوية مستقلة من جهة تقييم خارجية معتمدة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بند استرداد رسمي: إذا نسبة التوظيف &lt; 70% → يُعاد 30% من التمويل خلال 60 يوماً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شراكة بحثية مع الجامعات لنشر نتائج النموذج دولياً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إطار المتابعة والتقييم — M&amp;E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500"/>
        <w:gridCol w:w="2800"/>
        <w:gridCol w:w="1800"/>
        <w:gridCol w:w="2926"/>
      </w:tblGrid>
      <w:tblGrid>
        <w:gridCol w:w="2340"/>
        <w:gridCol w:w="2340"/>
        <w:gridCol w:w="2340"/>
        <w:gridCol w:w="2340"/>
      </w:tblGrid>
      <w:tr>
        <w:tc>
          <w:tcPr>
            <w:tcW w:type="dxa" w:w="3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المستوى</w:t>
            </w:r>
          </w:p>
        </w:tc>
        <w:tc>
          <w:tcPr>
            <w:tcW w:type="dxa" w:w="5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المؤشر</w:t>
            </w:r>
          </w:p>
        </w:tc>
        <w:tc>
          <w:tcPr>
            <w:tcW w:type="dxa" w:w="36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الهدف</w:t>
            </w:r>
          </w:p>
        </w:tc>
        <w:tc>
          <w:tcPr>
            <w:tcW w:type="dxa" w:w="58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آلية القياس</w:t>
            </w:r>
          </w:p>
        </w:tc>
      </w:tr>
      <w:tr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عدد المتدربين الملتحقين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300 / المرحلة 1</w:t>
            </w:r>
          </w:p>
        </w:tc>
        <w:tc>
          <w:tcPr>
            <w:tcW w:type="dxa" w:w="58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سجلات التسجيل — شهرياً</w:t>
            </w:r>
          </w:p>
        </w:tc>
      </w:tr>
      <w:tr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معدل إتمام البرنامج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90%</w:t>
            </w:r>
          </w:p>
        </w:tc>
        <w:tc>
          <w:tcPr>
            <w:tcW w:type="dxa" w:w="58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نظام الحضور — كل دفعة</w:t>
            </w:r>
          </w:p>
        </w:tc>
      </w:tr>
      <w:tr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اجتياز تقييم ECDL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80%</w:t>
            </w:r>
          </w:p>
        </w:tc>
        <w:tc>
          <w:tcPr>
            <w:tcW w:type="dxa" w:w="58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شهادات رسمية — كل دفعة</w:t>
            </w:r>
          </w:p>
        </w:tc>
      </w:tr>
      <w:tr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توظيف خلال 90 يوماً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85%</w:t>
            </w:r>
          </w:p>
        </w:tc>
        <w:tc>
          <w:tcPr>
            <w:tcW w:type="dxa" w:w="58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متابعة فردية + خطاب توظيف</w:t>
            </w:r>
          </w:p>
        </w:tc>
      </w:tr>
      <w:tr>
        <w:tc>
          <w:tcPr>
            <w:tcW w:type="dxa" w:w="3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5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رضا أصحاب العمل</w:t>
            </w:r>
          </w:p>
        </w:tc>
        <w:tc>
          <w:tcPr>
            <w:tcW w:type="dxa" w:w="36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96%</w:t>
            </w:r>
          </w:p>
        </w:tc>
        <w:tc>
          <w:tcPr>
            <w:tcW w:type="dxa" w:w="58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استبيان 6 أشهر بعد التوظيف</w:t>
            </w:r>
          </w:p>
        </w:tc>
      </w:tr>
      <w:tr>
        <w:tc>
          <w:tcPr>
            <w:tcW w:type="dxa" w:w="3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5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الاحتفاظ بالوظيفة 6 أشهر</w:t>
            </w:r>
          </w:p>
        </w:tc>
        <w:tc>
          <w:tcPr>
            <w:tcW w:type="dxa" w:w="36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≥ 75%</w:t>
            </w:r>
          </w:p>
        </w:tc>
        <w:tc>
          <w:tcPr>
            <w:tcW w:type="dxa" w:w="58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اتصال متابعة دوري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تحليل المخاطر وخطة التخفيف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1400"/>
        <w:gridCol w:w="51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الخطر</w:t>
            </w:r>
          </w:p>
        </w:tc>
        <w:tc>
          <w:tcPr>
            <w:tcW w:type="dxa" w:w="28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الاحتمالية</w:t>
            </w:r>
          </w:p>
        </w:tc>
        <w:tc>
          <w:tcPr>
            <w:tcW w:type="dxa" w:w="102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خطة التخفيف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ضعف الإقبال في بعض المحافظات</w:t>
            </w:r>
          </w:p>
        </w:tc>
        <w:tc>
          <w:tcPr>
            <w:tcW w:type="dxa" w:w="28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عالية</w:t>
            </w:r>
          </w:p>
        </w:tc>
        <w:tc>
          <w:tcPr>
            <w:tcW w:type="dxa" w:w="102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شراكة مع الوحدات الجامعية + حوافز (بدل نقل 200 جنيه/جلسة)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تأخر إتاحة المراكز التدريبية</w:t>
            </w:r>
          </w:p>
        </w:tc>
        <w:tc>
          <w:tcPr>
            <w:tcW w:type="dxa" w:w="28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متوسطة</w:t>
            </w:r>
          </w:p>
        </w:tc>
        <w:tc>
          <w:tcPr>
            <w:tcW w:type="dxa" w:w="102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عقود إيجار مؤسسات خاصة جاهزة كـ backup — تم تحديدها مسبقاً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تذبذب التزام أصحاب العمل</w:t>
            </w:r>
          </w:p>
        </w:tc>
        <w:tc>
          <w:tcPr>
            <w:tcW w:type="dxa" w:w="28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متوسطة</w:t>
            </w:r>
          </w:p>
        </w:tc>
        <w:tc>
          <w:tcPr>
            <w:tcW w:type="dxa" w:w="102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بروتوكولات توظيف موقّعة + قائمة انتظار 30+ شركة بديلة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تغيير السياسات الحكومية</w:t>
            </w:r>
          </w:p>
        </w:tc>
        <w:tc>
          <w:tcPr>
            <w:tcW w:type="dxa" w:w="28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منخفضة</w:t>
            </w:r>
          </w:p>
        </w:tc>
        <w:tc>
          <w:tcPr>
            <w:tcW w:type="dxa" w:w="102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هيكل قانوني مرن + بنود مراجعة سنوية في الاتفاقية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نقص المدربين المؤهلين</w:t>
            </w:r>
          </w:p>
        </w:tc>
        <w:tc>
          <w:tcPr>
            <w:tcW w:type="dxa" w:w="28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منخفضة</w:t>
            </w:r>
          </w:p>
        </w:tc>
        <w:tc>
          <w:tcPr>
            <w:tcW w:type="dxa" w:w="102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قاعدة بيانات 45 مدرباً معتمداً — مبنية خلال AASTMT Phase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06 · MY4 Education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الكيان القانوني · الفريق · التميز التنافسي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شركة MY4 Education للتدريب والتطوير المهني (س.م.م رقم 157843) — مسجلة في مصر، متخصصة في تأهيل الشباب لسوق العمل منذ 2022.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محمود جاداللا — مؤسس ومدير تنفيذي. خبرة 8+ سنوات في تصميم برامج التعليم والتدريب المهني. شارك في تصميم برامج IFC/World Bank و UNICEF Egypt.</w:t>
      </w: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الفريق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2200"/>
        <w:gridCol w:w="43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المنصب</w:t>
            </w:r>
          </w:p>
        </w:tc>
        <w:tc>
          <w:tcPr>
            <w:tcW w:type="dxa" w:w="4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الاسم</w:t>
            </w:r>
          </w:p>
        </w:tc>
        <w:tc>
          <w:tcPr>
            <w:tcW w:type="dxa" w:w="8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الدور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المدير التنفيذي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محمود جاداللا</w:t>
            </w:r>
          </w:p>
        </w:tc>
        <w:tc>
          <w:tcPr>
            <w:tcW w:type="dxa" w:w="8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تصميم البرامج + الشراكات الاستراتيجية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مدير التدريب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د. أميرة حسن</w:t>
            </w:r>
          </w:p>
        </w:tc>
        <w:tc>
          <w:tcPr>
            <w:tcW w:type="dxa" w:w="8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مناهج + جودة التدريب — PhD تربية جامعة القاهرة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مدير التوظيف وشركاء الأعمال</w:t>
            </w:r>
          </w:p>
        </w:tc>
        <w:tc>
          <w:tcPr>
            <w:tcW w:type="dxa" w:w="4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أحمد الشافعي</w:t>
            </w:r>
          </w:p>
        </w:tc>
        <w:tc>
          <w:tcPr>
            <w:tcW w:type="dxa" w:w="8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إدارة شبكة أصحاب العمل — خبرة 10 سنوات HR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مدير المتابعة والتقييم</w:t>
            </w:r>
          </w:p>
        </w:tc>
        <w:tc>
          <w:tcPr>
            <w:tcW w:type="dxa" w:w="4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سارة مصطفى</w:t>
            </w:r>
          </w:p>
        </w:tc>
        <w:tc>
          <w:tcPr>
            <w:tcW w:type="dxa" w:w="8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M&amp;E — شهادة دولية PMD Pro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لماذا MY4؟ — التميز التنافسي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3200"/>
        <w:gridCol w:w="33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المعيار</w:t>
            </w:r>
          </w:p>
        </w:tc>
        <w:tc>
          <w:tcPr>
            <w:tcW w:type="dxa" w:w="6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MY4 Education</w:t>
            </w:r>
          </w:p>
        </w:tc>
        <w:tc>
          <w:tcPr>
            <w:tcW w:type="dxa" w:w="66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المنافس النموذجي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نموذج التوظيف</w:t>
            </w:r>
          </w:p>
        </w:tc>
        <w:tc>
          <w:tcPr>
            <w:tcW w:type="dxa" w:w="6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ضمان 85%+ موثق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لا ضمان / أهداف غير رسمية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بند الاسترداد</w:t>
            </w:r>
          </w:p>
        </w:tc>
        <w:tc>
          <w:tcPr>
            <w:tcW w:type="dxa" w:w="6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نعم — 30% عند &lt;70%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لا يوجد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التتبع والبيانات</w:t>
            </w:r>
          </w:p>
        </w:tc>
        <w:tc>
          <w:tcPr>
            <w:tcW w:type="dxa" w:w="6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لوحة حية + تقرير مستقل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تقرير نهائي فقط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مسار المرأة</w:t>
            </w:r>
          </w:p>
        </w:tc>
        <w:tc>
          <w:tcPr>
            <w:tcW w:type="dxa" w:w="64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مخصص + مدربات</w:t>
            </w:r>
          </w:p>
        </w:tc>
        <w:tc>
          <w:tcPr>
            <w:tcW w:type="dxa" w:w="66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برنامج موحد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إثبات النموذج</w:t>
            </w:r>
          </w:p>
        </w:tc>
        <w:tc>
          <w:tcPr>
            <w:tcW w:type="dxa" w:w="64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200+ متدرب / AASTMT</w:t>
            </w:r>
          </w:p>
        </w:tc>
        <w:tc>
          <w:tcPr>
            <w:tcW w:type="dxa" w:w="66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بدون مرجعية محلية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الإطار القانوني والامتثال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الكيان: شركة مساهمة مسؤولية محدودة (س.م.م) — رقم 157843 — السجل التجاري المصري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الامتثال الضريبي: ملف ضريبي نشط لدى مصلحة الضرائب المصرية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التأمينات الاجتماعية: مسجل لدى الهيئة القومية للتأمين الاجتماعي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عقد التأمين المهني: مؤمَّن ضد مخاطر التدريب (وثيقة متاحة للمراجعة)</w:t>
      </w:r>
    </w:p>
    <w:p>
      <w:pPr>
        <w:pStyle w:val="ListBullet"/>
        <w:spacing w:after="60"/>
        <w:bidi/>
        <w:jc w:val="left"/>
      </w:pPr>
      <w:r>
        <w:rPr>
          <w:color w:val="0E0E0E"/>
          <w:sz w:val="22"/>
          <w:rtl/>
          <w:lang w:bidi="ar-SA"/>
        </w:rPr>
        <w:t>حماية البيانات: متوافق مع قانون حماية البيانات الشخصية رقم 151 لسنة 2020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280" w:after="80"/>
        <w:bidi/>
        <w:jc w:val="left"/>
      </w:pPr>
      <w:r>
        <w:rPr>
          <w:b/>
          <w:color w:val="C8A24C"/>
          <w:sz w:val="36"/>
          <w:rtl/>
          <w:lang w:bidi="ar-SA"/>
        </w:rPr>
        <w:t>07 · الطلب</w:t>
      </w:r>
    </w:p>
    <w:p>
      <w:pPr>
        <w:spacing w:before="200" w:after="60"/>
        <w:bidi/>
        <w:jc w:val="left"/>
      </w:pPr>
      <w:r>
        <w:rPr>
          <w:b/>
          <w:color w:val="A4232A"/>
          <w:sz w:val="28"/>
          <w:rtl/>
          <w:lang w:bidi="ar-SA"/>
        </w:rPr>
        <w:t>ماذا نطلب من الوزارة بالتحديد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500"/>
        <w:gridCol w:w="3500"/>
        <w:gridCol w:w="3026"/>
      </w:tblGrid>
      <w:tblGrid>
        <w:gridCol w:w="3120"/>
        <w:gridCol w:w="3120"/>
        <w:gridCol w:w="3120"/>
      </w:tblGrid>
      <w:tr>
        <w:tc>
          <w:tcPr>
            <w:tcW w:type="dxa" w:w="5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الطلب</w:t>
            </w:r>
          </w:p>
        </w:tc>
        <w:tc>
          <w:tcPr>
            <w:tcW w:type="dxa" w:w="7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التفاصيل</w:t>
            </w:r>
          </w:p>
        </w:tc>
        <w:tc>
          <w:tcPr>
            <w:tcW w:type="dxa" w:w="6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الأثر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١. اتفاقية شراكة رسمية</w:t>
            </w:r>
          </w:p>
        </w:tc>
        <w:tc>
          <w:tcPr>
            <w:tcW w:type="dxa" w:w="7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عقد شراكة موقّع لمدة 3 سنوات قابلة للتجديد</w:t>
            </w:r>
          </w:p>
        </w:tc>
        <w:tc>
          <w:tcPr>
            <w:tcW w:type="dxa" w:w="6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مصداقية + وصول لشبكة الوزارة (31 وحدة جامعية)</w:t>
            </w:r>
          </w:p>
        </w:tc>
      </w:tr>
      <w:tr>
        <w:tc>
          <w:tcPr>
            <w:tcW w:type="dxa" w:w="5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٢. إتاحة 3 مراكز تدريبية</w:t>
            </w:r>
          </w:p>
        </w:tc>
        <w:tc>
          <w:tcPr>
            <w:tcW w:type="dxa" w:w="7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القاهرة / الإسكندرية / الجيزة — المرحلة 1</w:t>
            </w:r>
          </w:p>
        </w:tc>
        <w:tc>
          <w:tcPr>
            <w:tcW w:type="dxa" w:w="6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تشغيل 300 متدرب في 10 أشهر دون تكلفة إيجار إضافية</w:t>
            </w:r>
          </w:p>
        </w:tc>
      </w:tr>
      <w:tr>
        <w:tc>
          <w:tcPr>
            <w:tcW w:type="dxa" w:w="5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٣. إدراج ضمن برنامج ستارت 2026</w:t>
            </w:r>
          </w:p>
        </w:tc>
        <w:tc>
          <w:tcPr>
            <w:tcW w:type="dxa" w:w="7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الإعلان الرسمي عبر قنوات الوزارة</w:t>
            </w:r>
          </w:p>
        </w:tc>
        <w:tc>
          <w:tcPr>
            <w:tcW w:type="dxa" w:w="6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وصول مباشر لـ 250,000+ شاب عبر الوحدات الجامعية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الخطوات التالية المقترحة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000"/>
        <w:gridCol w:w="5000"/>
        <w:gridCol w:w="2026"/>
      </w:tblGrid>
      <w:tblGrid>
        <w:gridCol w:w="3120"/>
        <w:gridCol w:w="3120"/>
        <w:gridCol w:w="3120"/>
      </w:tblGrid>
      <w:tr>
        <w:tc>
          <w:tcPr>
            <w:tcW w:type="dxa" w:w="4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الخطوة</w:t>
            </w:r>
          </w:p>
        </w:tc>
        <w:tc>
          <w:tcPr>
            <w:tcW w:type="dxa" w:w="100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الإجراء</w:t>
            </w:r>
          </w:p>
        </w:tc>
        <w:tc>
          <w:tcPr>
            <w:tcW w:type="dxa" w:w="405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color w:val="C8A24C"/>
                <w:sz w:val="20"/>
                <w:rtl/>
                <w:lang w:bidi="ar-SA"/>
              </w:rPr>
              <w:t>الإطار الزمني</w:t>
            </w:r>
          </w:p>
        </w:tc>
      </w:tr>
      <w:tr>
        <w:tc>
          <w:tcPr>
            <w:tcW w:type="dxa" w:w="4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1. اجتماع تقديمي</w:t>
            </w:r>
          </w:p>
        </w:tc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العرض الكامل أمام لجنة الوزارة المختصة</w:t>
            </w:r>
          </w:p>
        </w:tc>
        <w:tc>
          <w:tcPr>
            <w:tcW w:type="dxa" w:w="4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أسبوعان</w:t>
            </w:r>
          </w:p>
        </w:tc>
      </w:tr>
      <w:tr>
        <w:tc>
          <w:tcPr>
            <w:tcW w:type="dxa" w:w="4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2. مراجعة الوثائق</w:t>
            </w:r>
          </w:p>
        </w:tc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تسليم ملف AASTMT + خطابات أصحاب العمل + السجل</w:t>
            </w:r>
          </w:p>
        </w:tc>
        <w:tc>
          <w:tcPr>
            <w:tcW w:type="dxa" w:w="4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4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3. تحديد المراكز</w:t>
            </w:r>
          </w:p>
        </w:tc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زيارة ميدانية مشتركة لتحديد 3 مراكز تدريبية</w:t>
            </w:r>
          </w:p>
        </w:tc>
        <w:tc>
          <w:tcPr>
            <w:tcW w:type="dxa" w:w="4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4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4. توقيع الاتفاقية</w:t>
            </w:r>
          </w:p>
        </w:tc>
        <w:tc>
          <w:tcPr>
            <w:tcW w:type="dxa" w:w="10000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إتمام الإجراءات القانونية والتوقيع</w:t>
            </w:r>
          </w:p>
        </w:tc>
        <w:tc>
          <w:tcPr>
            <w:tcW w:type="dxa" w:w="40520"/>
            <w:shd w:val="clear" w:color="auto" w:fill="FFFFFF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شهر من المراجعة</w:t>
            </w:r>
          </w:p>
        </w:tc>
      </w:tr>
      <w:tr>
        <w:tc>
          <w:tcPr>
            <w:tcW w:type="dxa" w:w="4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5. انطلاق المرحلة 1</w:t>
            </w:r>
          </w:p>
        </w:tc>
        <w:tc>
          <w:tcPr>
            <w:tcW w:type="dxa" w:w="10000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بدء التدريب الفعلي</w:t>
            </w:r>
          </w:p>
        </w:tc>
        <w:tc>
          <w:tcPr>
            <w:tcW w:type="dxa" w:w="40520"/>
            <w:shd w:val="clear" w:color="auto" w:fill="F2F2F2"/>
          </w:tcPr>
          <w:p>
            <w:pPr>
              <w:bidi/>
              <w:jc w:val="left"/>
            </w:pPr>
            <w:r>
              <w:rPr>
                <w:color w:val="0E0E0E"/>
                <w:sz w:val="20"/>
                <w:rtl/>
                <w:lang w:bidi="ar-SA"/>
              </w:rPr>
              <w:t>يناير ٢٠٢٦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spacing w:before="160" w:after="40"/>
        <w:bidi/>
        <w:jc w:val="left"/>
      </w:pPr>
      <w:r>
        <w:rPr>
          <w:b/>
          <w:color w:val="C8A24C"/>
          <w:sz w:val="24"/>
          <w:rtl/>
          <w:lang w:bidi="ar-SA"/>
        </w:rPr>
        <w:t>للتواصل والتفاصيل</w:t>
      </w: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محمود جاداللا — المدير التنفيذي، MY4 Education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gadalla111@gmail.com  |  www.my4education.com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جميع الأرقام والإحصاءات الواردة مستندة إلى مصادر رسمية معتمدة. تقارير التقييم والوثائق الداعمة متاحة بطلب رسمي من الوزارة.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