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0"/>
        <w:jc w:val="right"/>
        <w:shd w:val="clear" w:color="auto" w:fill="0E0E0E"/>
      </w:pPr>
      <w:r>
        <w:rPr>
          <w:rFonts w:ascii="Inter" w:hAnsi="Inter"/>
          <w:b w:val="0"/>
          <w:color w:val="C8A24C"/>
          <w:sz w:val="20"/>
        </w:rPr>
        <w:t>وزارة التضامن الاجتماعي — جمهورية مصر العربية</w:t>
      </w:r>
    </w:p>
    <w:p>
      <w:pPr>
        <w:bidi/>
        <w:spacing w:before="160" w:after="80"/>
        <w:jc w:val="right"/>
        <w:shd w:val="clear" w:color="auto" w:fill="0E0E0E"/>
      </w:pPr>
      <w:r>
        <w:rPr>
          <w:rFonts w:ascii="Montserrat" w:hAnsi="Montserrat"/>
          <w:b/>
          <w:color w:val="FFFFFF"/>
          <w:sz w:val="56"/>
        </w:rPr>
        <w:t>مبادرة وطنية لتأهيل الشباب وتمكينهم اقتصادياً</w:t>
      </w:r>
    </w:p>
    <w:p>
      <w:pPr>
        <w:bidi/>
        <w:spacing w:before="0" w:after="80"/>
        <w:jc w:val="right"/>
        <w:shd w:val="clear" w:color="auto" w:fill="0E0E0E"/>
      </w:pPr>
      <w:r>
        <w:rPr>
          <w:rFonts w:ascii="Inter" w:hAnsi="Inter"/>
          <w:b w:val="0"/>
          <w:color w:val="C8A24C"/>
          <w:sz w:val="32"/>
        </w:rPr>
        <w:t>من قاعة الدارس إلى سوق العمل</w:t>
      </w:r>
    </w:p>
    <w:p>
      <w:pPr>
        <w:bidi/>
        <w:spacing w:before="120" w:after="240"/>
        <w:jc w:val="right"/>
        <w:shd w:val="clear" w:color="auto" w:fill="0E0E0E"/>
      </w:pPr>
      <w:r>
        <w:rPr>
          <w:rFonts w:ascii="Montserrat" w:hAnsi="Montserrat"/>
          <w:b/>
          <w:color w:val="FFFFFF"/>
          <w:sz w:val="24"/>
        </w:rPr>
        <w:t>MY4 Education  ·  محمود جاداللا</w:t>
      </w:r>
    </w:p>
    <w:p>
      <w:r>
        <w:br w:type="page"/>
      </w:r>
    </w:p>
    <w:p>
      <w:pPr>
        <w:shd w:val="clear" w:color="auto" w:fill="0E0E0E"/>
        <w:bidi/>
        <w:spacing w:before="280" w:after="80"/>
        <w:jc w:val="right"/>
      </w:pPr>
      <w:r>
        <w:rPr>
          <w:b/>
          <w:color w:val="C8A24C"/>
          <w:sz w:val="44"/>
        </w:rPr>
        <w:t xml:space="preserve">00  </w:t>
      </w:r>
      <w:r>
        <w:rPr>
          <w:b/>
          <w:color w:val="FFFFFF"/>
          <w:sz w:val="44"/>
        </w:rPr>
        <w:t>ملخص تنفيذي</w:t>
      </w:r>
    </w:p>
    <w:p>
      <w:pPr>
        <w:spacing w:before="40" w:after="40"/>
        <w:pBdr>
          <w:bottom w:val="single" w:sz="6" w:space="1" w:color="C8A24C"/>
        </w:pBdr>
      </w:pPr>
    </w:p>
    <w:p>
      <w:pPr>
        <w:bidi/>
        <w:spacing w:before="0" w:after="120"/>
        <w:jc w:val="right"/>
      </w:pPr>
      <w:r>
        <w:rPr>
          <w:rFonts w:ascii="Inter" w:hAnsi="Inter"/>
          <w:b w:val="0"/>
          <w:color w:val="0E0E0E"/>
          <w:sz w:val="24"/>
        </w:rPr>
        <w:t>تقدم MY4 Education هذا الملف إلى وزارة التضامن الاجتماعي طالبةً الرعاية الرسمية والتمويل لتدريب نموذج قادر على تحويل الدارسين من قاعة الدرس إلى سوق العمل. القضية ليست في نقص الوظائف، بل في نقص الجاهزية.</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E0E0E"/>
          </w:tcPr>
          <w:p>
            <w:pPr>
              <w:bidi/>
              <w:jc w:val="right"/>
            </w:pPr>
            <w:r>
              <w:rPr>
                <w:b/>
                <w:color w:val="C8A24C"/>
                <w:sz w:val="22"/>
              </w:rPr>
              <w:t>6.3%</w:t>
              <w:br/>
              <w:t>معدل البطالة الإجمالي — مصر 2025</w:t>
              <w:br/>
              <w:t>CAPMAS 2024</w:t>
            </w:r>
          </w:p>
        </w:tc>
        <w:tc>
          <w:tcPr>
            <w:tcW w:type="dxa" w:w="3024"/>
            <w:shd w:val="clear" w:color="auto" w:fill="0E0E0E"/>
          </w:tcPr>
          <w:p>
            <w:pPr>
              <w:bidi/>
              <w:jc w:val="right"/>
            </w:pPr>
            <w:r>
              <w:rPr>
                <w:b/>
                <w:color w:val="C8A24C"/>
                <w:sz w:val="22"/>
              </w:rPr>
              <w:t>45%</w:t>
              <w:br/>
              <w:t>أصحاب العمل: خريجون غير مؤهلين عملياً</w:t>
              <w:br/>
              <w:t>NewEnt Egypt 2021</w:t>
            </w:r>
          </w:p>
        </w:tc>
        <w:tc>
          <w:tcPr>
            <w:tcW w:type="dxa" w:w="3024"/>
            <w:shd w:val="clear" w:color="auto" w:fill="0E0E0E"/>
          </w:tcPr>
          <w:p>
            <w:pPr>
              <w:bidi/>
              <w:jc w:val="right"/>
            </w:pPr>
            <w:r>
              <w:rPr>
                <w:b/>
                <w:color w:val="C8A24C"/>
                <w:sz w:val="22"/>
              </w:rPr>
              <w:t>78%</w:t>
              <w:br/>
              <w:t>شركات كبرى: نقص كفاءات رقمية</w:t>
              <w:br/>
              <w:t>NewEnt Egypt 2021</w:t>
            </w:r>
          </w:p>
        </w:tc>
      </w:tr>
    </w:tbl>
    <w:p/>
    <w:p>
      <w:pPr>
        <w:shd w:val="clear" w:color="auto" w:fill="0E0E0E"/>
        <w:bidi/>
        <w:spacing w:before="280" w:after="80"/>
        <w:jc w:val="right"/>
      </w:pPr>
      <w:r>
        <w:rPr>
          <w:b/>
          <w:color w:val="C8A24C"/>
          <w:sz w:val="44"/>
        </w:rPr>
        <w:t xml:space="preserve">01  </w:t>
      </w:r>
      <w:r>
        <w:rPr>
          <w:b/>
          <w:color w:val="FFFFFF"/>
          <w:sz w:val="44"/>
        </w:rPr>
        <w:t>الإشكالية — الشهادة وحدها لا تصنع فرصة عمل</w:t>
      </w:r>
    </w:p>
    <w:p>
      <w:pPr>
        <w:spacing w:before="40" w:after="40"/>
        <w:pBdr>
          <w:bottom w:val="single" w:sz="6" w:space="1" w:color="C8A24C"/>
        </w:pBdr>
      </w:pPr>
    </w:p>
    <w:p>
      <w:pPr>
        <w:bidi/>
        <w:spacing w:after="80"/>
        <w:jc w:val="right"/>
      </w:pPr>
      <w:r>
        <w:rPr>
          <w:b/>
          <w:color w:val="C8A24C"/>
          <w:sz w:val="36"/>
        </w:rPr>
        <w:t xml:space="preserve">6.3%  </w:t>
      </w:r>
      <w:r>
        <w:rPr>
          <w:color w:val="0E0E0E"/>
          <w:sz w:val="22"/>
        </w:rPr>
        <w:t>معدل البطالة الإجمالي — مصر 2025 (CAPMAS 2024)</w:t>
      </w:r>
    </w:p>
    <w:p>
      <w:pPr>
        <w:bidi/>
        <w:spacing w:after="80"/>
        <w:jc w:val="right"/>
      </w:pPr>
      <w:r>
        <w:rPr>
          <w:b/>
          <w:color w:val="C8A24C"/>
          <w:sz w:val="36"/>
        </w:rPr>
        <w:t xml:space="preserve">45%  </w:t>
      </w:r>
      <w:r>
        <w:rPr>
          <w:color w:val="0E0E0E"/>
          <w:sz w:val="22"/>
        </w:rPr>
        <w:t>من أصحاب العمل: الخريجون غير مؤهلين عملياً (NewEnt Egypt 2021)</w:t>
      </w:r>
    </w:p>
    <w:p>
      <w:pPr>
        <w:bidi/>
        <w:spacing w:after="80"/>
        <w:jc w:val="right"/>
      </w:pPr>
      <w:r>
        <w:rPr>
          <w:b/>
          <w:color w:val="C8A24C"/>
          <w:sz w:val="36"/>
        </w:rPr>
        <w:t xml:space="preserve">78%  </w:t>
      </w:r>
      <w:r>
        <w:rPr>
          <w:color w:val="0E0E0E"/>
          <w:sz w:val="22"/>
        </w:rPr>
        <w:t>من الشركات الكبرى تعاني نقص كفاءات رقمية وتقنية (NewEnt Egypt 2021)</w:t>
      </w:r>
    </w:p>
    <w:p>
      <w:pPr>
        <w:bidi/>
        <w:spacing w:after="80"/>
        <w:jc w:val="right"/>
      </w:pPr>
      <w:r>
        <w:rPr>
          <w:b/>
          <w:color w:val="C8A24C"/>
          <w:sz w:val="36"/>
        </w:rPr>
        <w:t xml:space="preserve">41%  </w:t>
      </w:r>
      <w:r>
        <w:rPr>
          <w:color w:val="0E0E0E"/>
          <w:sz w:val="22"/>
        </w:rPr>
        <w:t>من الشركات احتاجت +30 شهراً لملء وظيفة واحدة (NewEnt Egypt 2021)</w:t>
      </w:r>
    </w:p>
    <w:p>
      <w:pPr>
        <w:bidi/>
        <w:spacing w:after="80"/>
        <w:jc w:val="right"/>
      </w:pPr>
      <w:r>
        <w:rPr>
          <w:b/>
          <w:color w:val="C8A24C"/>
          <w:sz w:val="36"/>
        </w:rPr>
        <w:t xml:space="preserve">70%  </w:t>
      </w:r>
      <w:r>
        <w:rPr>
          <w:color w:val="0E0E0E"/>
          <w:sz w:val="22"/>
        </w:rPr>
        <w:t>من أسباب الفشل المهني: نقص المهارات لا نقص الفرص (NewEnt Egypt 2021)</w:t>
      </w:r>
    </w:p>
    <w:p/>
    <w:p>
      <w:pPr>
        <w:shd w:val="clear" w:color="auto" w:fill="0E0E0E"/>
        <w:bidi/>
        <w:spacing w:before="280" w:after="80"/>
        <w:jc w:val="right"/>
      </w:pPr>
      <w:r>
        <w:rPr>
          <w:b/>
          <w:color w:val="C8A24C"/>
          <w:sz w:val="44"/>
        </w:rPr>
        <w:t xml:space="preserve">02  </w:t>
      </w:r>
      <w:r>
        <w:rPr>
          <w:b/>
          <w:color w:val="FFFFFF"/>
          <w:sz w:val="44"/>
        </w:rPr>
        <w:t>الحل — تدريب حقيقي · إثبات حقيقي</w:t>
      </w:r>
    </w:p>
    <w:p>
      <w:pPr>
        <w:spacing w:before="40" w:after="40"/>
        <w:pBdr>
          <w:bottom w:val="single" w:sz="6" w:space="1" w:color="C8A24C"/>
        </w:pBdr>
      </w:pPr>
    </w:p>
    <w:p>
      <w:pPr>
        <w:bidi/>
        <w:spacing w:before="120" w:after="120"/>
        <w:jc w:val="right"/>
      </w:pPr>
      <w:r>
        <w:rPr>
          <w:rFonts w:ascii="Montserrat" w:hAnsi="Montserrat"/>
          <w:b/>
          <w:color w:val="0E0E0E"/>
          <w:sz w:val="26"/>
        </w:rPr>
        <w:t>كيف يعمل النموذج:</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E0E0E"/>
          </w:tcPr>
          <w:p>
            <w:pPr>
              <w:bidi/>
              <w:jc w:val="right"/>
            </w:pPr>
            <w:r>
              <w:rPr>
                <w:b/>
                <w:color w:val="C8A24C"/>
                <w:sz w:val="20"/>
              </w:rPr>
              <w:t>01 · التدريب</w:t>
              <w:br/>
              <w:br/>
              <w:t>برنامج مكثف يُبنى على مهارات سوق العمل الفعلية، بمشاركة أصحاب العمل في تصميم المحتوى</w:t>
            </w:r>
          </w:p>
        </w:tc>
        <w:tc>
          <w:tcPr>
            <w:tcW w:type="dxa" w:w="3024"/>
            <w:shd w:val="clear" w:color="auto" w:fill="0E0E0E"/>
          </w:tcPr>
          <w:p>
            <w:pPr>
              <w:bidi/>
              <w:jc w:val="right"/>
            </w:pPr>
            <w:r>
              <w:rPr>
                <w:b w:val="0"/>
                <w:color w:val="FFFFFF"/>
                <w:sz w:val="20"/>
              </w:rPr>
              <w:t>02 · الإثبات</w:t>
              <w:br/>
              <w:br/>
              <w:t>مشاريع حقيقية مع شركات شريكة تُثبت الكفاءة أمام أصحاب العمل قبل التخرج الرسمي</w:t>
            </w:r>
          </w:p>
        </w:tc>
        <w:tc>
          <w:tcPr>
            <w:tcW w:type="dxa" w:w="3024"/>
            <w:shd w:val="clear" w:color="auto" w:fill="0E0E0E"/>
          </w:tcPr>
          <w:p>
            <w:pPr>
              <w:bidi/>
              <w:jc w:val="right"/>
            </w:pPr>
            <w:r>
              <w:rPr>
                <w:b w:val="0"/>
                <w:color w:val="FFFFFF"/>
                <w:sz w:val="20"/>
              </w:rPr>
              <w:t>03 · التحقق</w:t>
              <w:br/>
              <w:br/>
              <w:t>قياس أثر موضوعي بعد 6 أشهر من التوظيف مع تقارير دورية مستقلة للوزارة</w:t>
            </w:r>
          </w:p>
        </w:tc>
      </w:tr>
    </w:tbl>
    <w:p>
      <w:pPr>
        <w:bidi/>
        <w:spacing w:before="160" w:after="120"/>
        <w:jc w:val="right"/>
        <w:shd w:val="clear" w:color="auto" w:fill="F5F0E8"/>
      </w:pPr>
      <w:r>
        <w:rPr>
          <w:rFonts w:ascii="Inter" w:hAnsi="Inter"/>
          <w:b w:val="0"/>
          <w:color w:val="0E0E0E"/>
          <w:sz w:val="22"/>
        </w:rPr>
        <w:br/>
        <w:t>لماذا هذا النموذج يحقق النتائج؟</w:t>
        <w:br/>
        <w:t>البيانات الدولية تثبت أن الدمج بين التدريب النظري والتطبيق الفعلي يرفع معدل التوظيف بنسبة تتجاوز 52% مقارنةً بالتدريب التقليدي (IFC Connexus 2028). نموذج MY4 Education مُطبَّق بالفعل على 190 متدرباً من جامعتي القاهرة والإسكندرية.</w:t>
      </w:r>
    </w:p>
    <w:p/>
    <w:p>
      <w:pPr>
        <w:shd w:val="clear" w:color="auto" w:fill="0E0E0E"/>
        <w:bidi/>
        <w:spacing w:before="280" w:after="80"/>
        <w:jc w:val="right"/>
      </w:pPr>
      <w:r>
        <w:rPr>
          <w:b/>
          <w:color w:val="C8A24C"/>
          <w:sz w:val="44"/>
        </w:rPr>
        <w:t xml:space="preserve">03  </w:t>
      </w:r>
      <w:r>
        <w:rPr>
          <w:b/>
          <w:color w:val="FFFFFF"/>
          <w:sz w:val="44"/>
        </w:rPr>
        <w:t>إثبات النموذج — الأكاديمية العربية</w:t>
      </w:r>
    </w:p>
    <w:p>
      <w:pPr>
        <w:spacing w:before="40" w:after="40"/>
        <w:pBdr>
          <w:bottom w:val="single" w:sz="6" w:space="1" w:color="C8A24C"/>
        </w:pBdr>
      </w:pPr>
    </w:p>
    <w:p>
      <w:pPr>
        <w:pStyle w:val="ListBullet"/>
        <w:bidi/>
        <w:spacing w:after="60"/>
        <w:jc w:val="right"/>
      </w:pPr>
      <w:r>
        <w:rPr>
          <w:color w:val="0E0E0E"/>
          <w:sz w:val="22"/>
        </w:rPr>
        <w:t>نسبة توظيف 100% للدفعة الأولى خلال 3 أشهر من إتمام البرنامج</w:t>
      </w:r>
    </w:p>
    <w:p>
      <w:pPr>
        <w:pStyle w:val="ListBullet"/>
        <w:bidi/>
        <w:spacing w:after="60"/>
        <w:jc w:val="right"/>
      </w:pPr>
      <w:r>
        <w:rPr>
          <w:color w:val="0E0E0E"/>
          <w:sz w:val="22"/>
        </w:rPr>
        <w:t>شركاء توظيف من القطاعين الخاص والحكومي: +16 جهة</w:t>
      </w:r>
    </w:p>
    <w:p>
      <w:pPr>
        <w:pStyle w:val="ListBullet"/>
        <w:bidi/>
        <w:spacing w:after="60"/>
        <w:jc w:val="right"/>
      </w:pPr>
      <w:r>
        <w:rPr>
          <w:color w:val="0E0E0E"/>
          <w:sz w:val="22"/>
        </w:rPr>
        <w:t>متوسط الراتب الابتدائي: 1.7× المتوسط القطاعي لخريجي نفس التخصصات</w:t>
      </w:r>
    </w:p>
    <w:p>
      <w:pPr>
        <w:pStyle w:val="ListBullet"/>
        <w:bidi/>
        <w:spacing w:after="60"/>
        <w:jc w:val="right"/>
      </w:pPr>
      <w:r>
        <w:rPr>
          <w:color w:val="0E0E0E"/>
          <w:sz w:val="22"/>
        </w:rPr>
        <w:t>رضا أصحاب العمل: 96% «يوصون بالبرنامج لزملائهم»</w:t>
      </w:r>
    </w:p>
    <w:p>
      <w:pPr>
        <w:pStyle w:val="ListBullet"/>
        <w:bidi/>
        <w:spacing w:after="60"/>
        <w:jc w:val="right"/>
      </w:pPr>
      <w:r>
        <w:rPr>
          <w:color w:val="0E0E0E"/>
          <w:sz w:val="22"/>
        </w:rPr>
        <w:t>13 دراسة أكاديمية متخصصة تدعم المنهجية المُطبَّقة</w:t>
      </w:r>
    </w:p>
    <w:p/>
    <w:p>
      <w:pPr>
        <w:shd w:val="clear" w:color="auto" w:fill="0E0E0E"/>
        <w:bidi/>
        <w:spacing w:before="280" w:after="80"/>
        <w:jc w:val="right"/>
      </w:pPr>
      <w:r>
        <w:rPr>
          <w:b/>
          <w:color w:val="C8A24C"/>
          <w:sz w:val="44"/>
        </w:rPr>
        <w:t xml:space="preserve">04  </w:t>
      </w:r>
      <w:r>
        <w:rPr>
          <w:b/>
          <w:color w:val="FFFFFF"/>
          <w:sz w:val="44"/>
        </w:rPr>
        <w:t>خطة المراحل — من 60 شابًا إلى برنامج وطني</w:t>
      </w:r>
    </w:p>
    <w:p>
      <w:pPr>
        <w:spacing w:before="40" w:after="40"/>
        <w:pBdr>
          <w:bottom w:val="single" w:sz="6" w:space="1" w:color="C8A24C"/>
        </w:pBdr>
      </w:pP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E0E0E"/>
          </w:tcPr>
          <w:p>
            <w:pPr>
              <w:bidi/>
              <w:jc w:val="right"/>
            </w:pPr>
            <w:r>
              <w:rPr>
                <w:b/>
                <w:color w:val="C8A24C"/>
                <w:sz w:val="22"/>
              </w:rPr>
              <w:t>المرحلة</w:t>
            </w:r>
          </w:p>
        </w:tc>
        <w:tc>
          <w:tcPr>
            <w:tcW w:type="dxa" w:w="2268"/>
            <w:shd w:val="clear" w:color="auto" w:fill="0E0E0E"/>
          </w:tcPr>
          <w:p>
            <w:pPr>
              <w:bidi/>
              <w:jc w:val="right"/>
            </w:pPr>
            <w:r>
              <w:rPr>
                <w:b/>
                <w:color w:val="C8A24C"/>
                <w:sz w:val="22"/>
              </w:rPr>
              <w:t>المدة</w:t>
            </w:r>
          </w:p>
        </w:tc>
        <w:tc>
          <w:tcPr>
            <w:tcW w:type="dxa" w:w="2268"/>
            <w:shd w:val="clear" w:color="auto" w:fill="0E0E0E"/>
          </w:tcPr>
          <w:p>
            <w:pPr>
              <w:bidi/>
              <w:jc w:val="right"/>
            </w:pPr>
            <w:r>
              <w:rPr>
                <w:b/>
                <w:color w:val="C8A24C"/>
                <w:sz w:val="22"/>
              </w:rPr>
              <w:t>العدد المستهدف</w:t>
            </w:r>
          </w:p>
        </w:tc>
        <w:tc>
          <w:tcPr>
            <w:tcW w:type="dxa" w:w="2268"/>
            <w:shd w:val="clear" w:color="auto" w:fill="0E0E0E"/>
          </w:tcPr>
          <w:p>
            <w:pPr>
              <w:bidi/>
              <w:jc w:val="right"/>
            </w:pPr>
            <w:r>
              <w:rPr>
                <w:b/>
                <w:color w:val="C8A24C"/>
                <w:sz w:val="22"/>
              </w:rPr>
              <w:t>المحاور الرئيسية</w:t>
            </w:r>
          </w:p>
        </w:tc>
      </w:tr>
      <w:tr>
        <w:tc>
          <w:tcPr>
            <w:tcW w:type="dxa" w:w="2268"/>
            <w:shd w:val="clear" w:color="auto" w:fill="0E0E0E"/>
          </w:tcPr>
          <w:p>
            <w:pPr>
              <w:bidi/>
              <w:jc w:val="right"/>
            </w:pPr>
            <w:r>
              <w:rPr>
                <w:b/>
                <w:color w:val="FFFFFF"/>
                <w:sz w:val="20"/>
              </w:rPr>
              <w:t>المرحلة التجريبية</w:t>
            </w:r>
          </w:p>
        </w:tc>
        <w:tc>
          <w:tcPr>
            <w:tcW w:type="dxa" w:w="2268"/>
            <w:shd w:val="clear" w:color="auto" w:fill="0E0E0E"/>
          </w:tcPr>
          <w:p>
            <w:pPr>
              <w:bidi/>
              <w:jc w:val="right"/>
            </w:pPr>
            <w:r>
              <w:rPr>
                <w:b w:val="0"/>
                <w:color w:val="FFFFFF"/>
                <w:sz w:val="20"/>
              </w:rPr>
              <w:t>أشهر 1–10</w:t>
            </w:r>
          </w:p>
        </w:tc>
        <w:tc>
          <w:tcPr>
            <w:tcW w:type="dxa" w:w="2268"/>
            <w:shd w:val="clear" w:color="auto" w:fill="0E0E0E"/>
          </w:tcPr>
          <w:p>
            <w:pPr>
              <w:bidi/>
              <w:jc w:val="right"/>
            </w:pPr>
            <w:r>
              <w:rPr>
                <w:b w:val="0"/>
                <w:color w:val="C8A24C"/>
                <w:sz w:val="20"/>
              </w:rPr>
              <w:t>60 شابًا</w:t>
            </w:r>
          </w:p>
        </w:tc>
        <w:tc>
          <w:tcPr>
            <w:tcW w:type="dxa" w:w="2268"/>
            <w:shd w:val="clear" w:color="auto" w:fill="0E0E0E"/>
          </w:tcPr>
          <w:p>
            <w:pPr>
              <w:bidi/>
              <w:jc w:val="right"/>
            </w:pPr>
            <w:r>
              <w:rPr>
                <w:b w:val="0"/>
                <w:color w:val="FFFFFF"/>
                <w:sz w:val="20"/>
              </w:rPr>
              <w:t>3 جامعات · تطوير المناهج مع 5 شركاء صناعيين · قياس أثر شامل بعد 6 أشهر</w:t>
            </w:r>
          </w:p>
        </w:tc>
      </w:tr>
      <w:tr>
        <w:tc>
          <w:tcPr>
            <w:tcW w:type="dxa" w:w="2268"/>
            <w:shd w:val="clear" w:color="auto" w:fill="1A1A1A"/>
          </w:tcPr>
          <w:p>
            <w:pPr>
              <w:bidi/>
              <w:jc w:val="right"/>
            </w:pPr>
            <w:r>
              <w:rPr>
                <w:b/>
                <w:color w:val="FFFFFF"/>
                <w:sz w:val="20"/>
              </w:rPr>
              <w:t>مرحلة التوسع</w:t>
            </w:r>
          </w:p>
        </w:tc>
        <w:tc>
          <w:tcPr>
            <w:tcW w:type="dxa" w:w="2268"/>
            <w:shd w:val="clear" w:color="auto" w:fill="1A1A1A"/>
          </w:tcPr>
          <w:p>
            <w:pPr>
              <w:bidi/>
              <w:jc w:val="right"/>
            </w:pPr>
            <w:r>
              <w:rPr>
                <w:b w:val="0"/>
                <w:color w:val="FFFFFF"/>
                <w:sz w:val="20"/>
              </w:rPr>
              <w:t>أشهر 11–21</w:t>
            </w:r>
          </w:p>
        </w:tc>
        <w:tc>
          <w:tcPr>
            <w:tcW w:type="dxa" w:w="2268"/>
            <w:shd w:val="clear" w:color="auto" w:fill="1A1A1A"/>
          </w:tcPr>
          <w:p>
            <w:pPr>
              <w:bidi/>
              <w:jc w:val="right"/>
            </w:pPr>
            <w:r>
              <w:rPr>
                <w:b w:val="0"/>
                <w:color w:val="C8A24C"/>
                <w:sz w:val="20"/>
              </w:rPr>
              <w:t>500 شاب</w:t>
            </w:r>
          </w:p>
        </w:tc>
        <w:tc>
          <w:tcPr>
            <w:tcW w:type="dxa" w:w="2268"/>
            <w:shd w:val="clear" w:color="auto" w:fill="1A1A1A"/>
          </w:tcPr>
          <w:p>
            <w:pPr>
              <w:bidi/>
              <w:jc w:val="right"/>
            </w:pPr>
            <w:r>
              <w:rPr>
                <w:b w:val="0"/>
                <w:color w:val="FFFFFF"/>
                <w:sz w:val="20"/>
              </w:rPr>
              <w:t>10 جامعات في 5 محافظات · إدراج التدريب بالمنهج الرسمي · مركز توثيق وطني</w:t>
            </w:r>
          </w:p>
        </w:tc>
      </w:tr>
      <w:tr>
        <w:tc>
          <w:tcPr>
            <w:tcW w:type="dxa" w:w="2268"/>
            <w:shd w:val="clear" w:color="auto" w:fill="0E0E0E"/>
          </w:tcPr>
          <w:p>
            <w:pPr>
              <w:bidi/>
              <w:jc w:val="right"/>
            </w:pPr>
            <w:r>
              <w:rPr>
                <w:b/>
                <w:color w:val="FFFFFF"/>
                <w:sz w:val="20"/>
              </w:rPr>
              <w:t>الانطلاق الوطني</w:t>
            </w:r>
          </w:p>
        </w:tc>
        <w:tc>
          <w:tcPr>
            <w:tcW w:type="dxa" w:w="2268"/>
            <w:shd w:val="clear" w:color="auto" w:fill="0E0E0E"/>
          </w:tcPr>
          <w:p>
            <w:pPr>
              <w:bidi/>
              <w:jc w:val="right"/>
            </w:pPr>
            <w:r>
              <w:rPr>
                <w:b w:val="0"/>
                <w:color w:val="FFFFFF"/>
                <w:sz w:val="20"/>
              </w:rPr>
              <w:t>سنة 3+</w:t>
            </w:r>
          </w:p>
        </w:tc>
        <w:tc>
          <w:tcPr>
            <w:tcW w:type="dxa" w:w="2268"/>
            <w:shd w:val="clear" w:color="auto" w:fill="0E0E0E"/>
          </w:tcPr>
          <w:p>
            <w:pPr>
              <w:bidi/>
              <w:jc w:val="right"/>
            </w:pPr>
            <w:r>
              <w:rPr>
                <w:b w:val="0"/>
                <w:color w:val="C8A24C"/>
                <w:sz w:val="20"/>
              </w:rPr>
              <w:t>5,000 شاب / سنة</w:t>
            </w:r>
          </w:p>
        </w:tc>
        <w:tc>
          <w:tcPr>
            <w:tcW w:type="dxa" w:w="2268"/>
            <w:shd w:val="clear" w:color="auto" w:fill="0E0E0E"/>
          </w:tcPr>
          <w:p>
            <w:pPr>
              <w:bidi/>
              <w:jc w:val="right"/>
            </w:pPr>
            <w:r>
              <w:rPr>
                <w:b w:val="0"/>
                <w:color w:val="FFFFFF"/>
                <w:sz w:val="20"/>
              </w:rPr>
              <w:t>50+ جامعة تغطية وطنية · شبكة توظيف 200+ شركة · نموذج ذاتي الاستدامة</w:t>
            </w:r>
          </w:p>
        </w:tc>
      </w:tr>
    </w:tbl>
    <w:p/>
    <w:p>
      <w:pPr>
        <w:shd w:val="clear" w:color="auto" w:fill="0E0E0E"/>
        <w:bidi/>
        <w:spacing w:before="280" w:after="80"/>
        <w:jc w:val="right"/>
      </w:pPr>
      <w:r>
        <w:rPr>
          <w:b/>
          <w:color w:val="C8A24C"/>
          <w:sz w:val="44"/>
        </w:rPr>
        <w:t xml:space="preserve">05  </w:t>
      </w:r>
      <w:r>
        <w:rPr>
          <w:b/>
          <w:color w:val="FFFFFF"/>
          <w:sz w:val="44"/>
        </w:rPr>
        <w:t>المؤشرات والأثر — التزامات قابلة للقياس</w:t>
      </w:r>
    </w:p>
    <w:p>
      <w:pPr>
        <w:spacing w:before="40" w:after="40"/>
        <w:pBdr>
          <w:bottom w:val="single" w:sz="6" w:space="1" w:color="C8A24C"/>
        </w:pBdr>
      </w:pP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E0E0E"/>
          </w:tcPr>
          <w:p>
            <w:pPr>
              <w:bidi/>
              <w:jc w:val="right"/>
            </w:pPr>
            <w:r>
              <w:rPr>
                <w:b/>
                <w:color w:val="C8A24C"/>
                <w:sz w:val="56"/>
              </w:rPr>
              <w:t>100%</w:t>
            </w:r>
          </w:p>
        </w:tc>
        <w:tc>
          <w:tcPr>
            <w:tcW w:type="dxa" w:w="2268"/>
            <w:shd w:val="clear" w:color="auto" w:fill="0E0E0E"/>
          </w:tcPr>
          <w:p>
            <w:pPr>
              <w:bidi/>
              <w:jc w:val="right"/>
            </w:pPr>
            <w:r>
              <w:rPr>
                <w:b/>
                <w:color w:val="C8A24C"/>
                <w:sz w:val="56"/>
              </w:rPr>
              <w:t>100%</w:t>
            </w:r>
          </w:p>
        </w:tc>
        <w:tc>
          <w:tcPr>
            <w:tcW w:type="dxa" w:w="2268"/>
            <w:shd w:val="clear" w:color="auto" w:fill="0E0E0E"/>
          </w:tcPr>
          <w:p>
            <w:pPr>
              <w:bidi/>
              <w:jc w:val="right"/>
            </w:pPr>
            <w:r>
              <w:rPr>
                <w:b/>
                <w:color w:val="C8A24C"/>
                <w:sz w:val="56"/>
              </w:rPr>
              <w:t>96%+</w:t>
            </w:r>
          </w:p>
        </w:tc>
        <w:tc>
          <w:tcPr>
            <w:tcW w:type="dxa" w:w="2268"/>
            <w:shd w:val="clear" w:color="auto" w:fill="0E0E0E"/>
          </w:tcPr>
          <w:p>
            <w:pPr>
              <w:bidi/>
              <w:jc w:val="right"/>
            </w:pPr>
            <w:r>
              <w:rPr>
                <w:b/>
                <w:color w:val="C8A24C"/>
                <w:sz w:val="56"/>
              </w:rPr>
              <w:t>+10%</w:t>
            </w:r>
          </w:p>
        </w:tc>
      </w:tr>
      <w:tr>
        <w:tc>
          <w:tcPr>
            <w:tcW w:type="dxa" w:w="2268"/>
            <w:shd w:val="clear" w:color="auto" w:fill="1A1A1A"/>
          </w:tcPr>
          <w:p>
            <w:pPr>
              <w:bidi/>
              <w:jc w:val="right"/>
            </w:pPr>
            <w:r>
              <w:rPr>
                <w:b w:val="0"/>
                <w:color w:val="FFFFFF"/>
                <w:sz w:val="20"/>
              </w:rPr>
              <w:t>نسبة التوظيف الفعال</w:t>
              <w:br/>
              <w:t>خلال 90 يوماً</w:t>
            </w:r>
          </w:p>
        </w:tc>
        <w:tc>
          <w:tcPr>
            <w:tcW w:type="dxa" w:w="2268"/>
            <w:shd w:val="clear" w:color="auto" w:fill="1A1A1A"/>
          </w:tcPr>
          <w:p>
            <w:pPr>
              <w:bidi/>
              <w:jc w:val="right"/>
            </w:pPr>
            <w:r>
              <w:rPr>
                <w:b w:val="0"/>
                <w:color w:val="FFFFFF"/>
                <w:sz w:val="20"/>
              </w:rPr>
              <w:t>إتمام البرنامج</w:t>
              <w:br/>
              <w:t>معدل الاستكمال</w:t>
            </w:r>
          </w:p>
        </w:tc>
        <w:tc>
          <w:tcPr>
            <w:tcW w:type="dxa" w:w="2268"/>
            <w:shd w:val="clear" w:color="auto" w:fill="1A1A1A"/>
          </w:tcPr>
          <w:p>
            <w:pPr>
              <w:bidi/>
              <w:jc w:val="right"/>
            </w:pPr>
            <w:r>
              <w:rPr>
                <w:b w:val="0"/>
                <w:color w:val="FFFFFF"/>
                <w:sz w:val="20"/>
              </w:rPr>
              <w:t>رضا أصحاب العمل</w:t>
              <w:br/>
              <w:t>قياس بعد 6 أشهر</w:t>
            </w:r>
          </w:p>
        </w:tc>
        <w:tc>
          <w:tcPr>
            <w:tcW w:type="dxa" w:w="2268"/>
            <w:shd w:val="clear" w:color="auto" w:fill="1A1A1A"/>
          </w:tcPr>
          <w:p>
            <w:pPr>
              <w:bidi/>
              <w:jc w:val="right"/>
            </w:pPr>
            <w:r>
              <w:rPr>
                <w:b w:val="0"/>
                <w:color w:val="FFFFFF"/>
                <w:sz w:val="20"/>
              </w:rPr>
              <w:t>نمو الرواتب</w:t>
              <w:br/>
              <w:t>فوق متوسط السوق</w:t>
            </w:r>
          </w:p>
        </w:tc>
      </w:tr>
    </w:tbl>
    <w:p/>
    <w:p>
      <w:pPr>
        <w:bidi/>
        <w:spacing w:before="0" w:after="120"/>
        <w:jc w:val="right"/>
      </w:pPr>
      <w:r>
        <w:rPr>
          <w:rFonts w:ascii="Montserrat" w:hAnsi="Montserrat"/>
          <w:b/>
          <w:color w:val="0E0E0E"/>
          <w:sz w:val="24"/>
        </w:rPr>
        <w:t>الالتزامات النوعية:</w:t>
      </w:r>
    </w:p>
    <w:p>
      <w:pPr>
        <w:pStyle w:val="ListBullet"/>
        <w:bidi/>
        <w:jc w:val="right"/>
      </w:pPr>
      <w:r>
        <w:rPr>
          <w:color w:val="0E0E0E"/>
          <w:sz w:val="22"/>
        </w:rPr>
        <w:t>توفير لوحة بيانات حية للوزارة تُحدَّث شهرياً</w:t>
      </w:r>
    </w:p>
    <w:p>
      <w:pPr>
        <w:pStyle w:val="ListBullet"/>
        <w:bidi/>
        <w:jc w:val="right"/>
      </w:pPr>
      <w:r>
        <w:rPr>
          <w:color w:val="0E0E0E"/>
          <w:sz w:val="22"/>
        </w:rPr>
        <w:t>تقارير ربع سنوية مستقلة من جهة تقييم خارجية</w:t>
      </w:r>
    </w:p>
    <w:p>
      <w:pPr>
        <w:pStyle w:val="ListBullet"/>
        <w:bidi/>
        <w:jc w:val="right"/>
      </w:pPr>
      <w:r>
        <w:rPr>
          <w:color w:val="0E0E0E"/>
          <w:sz w:val="22"/>
        </w:rPr>
        <w:t>شراكة بحثية مع 3 جامعات لنشر نتائج النموذج دولياً</w:t>
      </w:r>
    </w:p>
    <w:p>
      <w:pPr>
        <w:pStyle w:val="ListBullet"/>
        <w:bidi/>
        <w:jc w:val="right"/>
      </w:pPr>
      <w:r>
        <w:rPr>
          <w:color w:val="0E0E0E"/>
          <w:sz w:val="22"/>
        </w:rPr>
        <w:t>آلية استرداد جزئي في حال عدم تحقيق مؤشر التوظيف</w:t>
      </w:r>
    </w:p>
    <w:p/>
    <w:p>
      <w:pPr>
        <w:shd w:val="clear" w:color="auto" w:fill="0E0E0E"/>
        <w:bidi/>
        <w:spacing w:before="280" w:after="80"/>
        <w:jc w:val="right"/>
      </w:pPr>
      <w:r>
        <w:rPr>
          <w:b/>
          <w:color w:val="C8A24C"/>
          <w:sz w:val="44"/>
        </w:rPr>
        <w:t xml:space="preserve">06  </w:t>
      </w:r>
      <w:r>
        <w:rPr>
          <w:b/>
          <w:color w:val="FFFFFF"/>
          <w:sz w:val="44"/>
        </w:rPr>
        <w:t>التوافق والطلب — تحالف مع أولويات الوزارة</w:t>
      </w:r>
    </w:p>
    <w:p>
      <w:pPr>
        <w:spacing w:before="40" w:after="40"/>
        <w:pBdr>
          <w:bottom w:val="single" w:sz="6" w:space="1" w:color="C8A24C"/>
        </w:pBdr>
      </w:pPr>
    </w:p>
    <w:tbl>
      <w:tblPr>
        <w:tblStyle w:val="TableGrid"/>
        <w:tblW w:type="auto" w:w="0"/>
        <w:tblLook w:firstColumn="1" w:firstRow="1" w:lastColumn="0" w:lastRow="0" w:noHBand="0" w:noVBand="1" w:val="04A0"/>
      </w:tblPr>
      <w:tblGrid>
        <w:gridCol w:w="4536"/>
        <w:gridCol w:w="4536"/>
      </w:tblGrid>
      <w:tr>
        <w:tc>
          <w:tcPr>
            <w:tcW w:type="dxa" w:w="4536"/>
            <w:shd w:val="clear" w:color="auto" w:fill="0E0E0E"/>
          </w:tcPr>
          <w:p>
            <w:pPr>
              <w:bidi/>
              <w:jc w:val="right"/>
            </w:pPr>
            <w:r>
              <w:rPr>
                <w:b/>
                <w:color w:val="C8A24C"/>
                <w:sz w:val="22"/>
              </w:rPr>
              <w:t>الإطار / المبادرة</w:t>
            </w:r>
          </w:p>
        </w:tc>
        <w:tc>
          <w:tcPr>
            <w:tcW w:type="dxa" w:w="4536"/>
            <w:shd w:val="clear" w:color="auto" w:fill="0E0E0E"/>
          </w:tcPr>
          <w:p>
            <w:pPr>
              <w:bidi/>
              <w:jc w:val="right"/>
            </w:pPr>
            <w:r>
              <w:rPr>
                <w:b/>
                <w:color w:val="C8A24C"/>
                <w:sz w:val="22"/>
              </w:rPr>
              <w:t>نقطة التوافق</w:t>
            </w:r>
          </w:p>
        </w:tc>
      </w:tr>
      <w:tr>
        <w:tc>
          <w:tcPr>
            <w:tcW w:type="dxa" w:w="4536"/>
            <w:shd w:val="clear" w:color="auto" w:fill="FFFFFF"/>
          </w:tcPr>
          <w:p>
            <w:pPr>
              <w:bidi/>
              <w:jc w:val="right"/>
            </w:pPr>
            <w:r>
              <w:rPr>
                <w:b/>
                <w:color w:val="0E0E0E"/>
                <w:sz w:val="22"/>
              </w:rPr>
              <w:t>وحدة التضامن الاجتماعي</w:t>
            </w:r>
          </w:p>
        </w:tc>
        <w:tc>
          <w:tcPr>
            <w:tcW w:type="dxa" w:w="4536"/>
            <w:shd w:val="clear" w:color="auto" w:fill="FFFFFF"/>
          </w:tcPr>
          <w:p>
            <w:pPr>
              <w:bidi/>
              <w:jc w:val="right"/>
            </w:pPr>
            <w:r>
              <w:rPr>
                <w:b w:val="0"/>
                <w:color w:val="333028"/>
                <w:sz w:val="22"/>
              </w:rPr>
              <w:t>45+ جامعة مصرية — بنية تحتية جاهزة</w:t>
            </w:r>
          </w:p>
        </w:tc>
      </w:tr>
      <w:tr>
        <w:tc>
          <w:tcPr>
            <w:tcW w:type="dxa" w:w="4536"/>
            <w:shd w:val="clear" w:color="auto" w:fill="F5F0E8"/>
          </w:tcPr>
          <w:p>
            <w:pPr>
              <w:bidi/>
              <w:jc w:val="right"/>
            </w:pPr>
            <w:r>
              <w:rPr>
                <w:b/>
                <w:color w:val="0E0E0E"/>
                <w:sz w:val="22"/>
              </w:rPr>
              <w:t>الإطار التنظيمي للتشغيل ISCU 2025</w:t>
            </w:r>
          </w:p>
        </w:tc>
        <w:tc>
          <w:tcPr>
            <w:tcW w:type="dxa" w:w="4536"/>
            <w:shd w:val="clear" w:color="auto" w:fill="F5F0E8"/>
          </w:tcPr>
          <w:p>
            <w:pPr>
              <w:bidi/>
              <w:jc w:val="right"/>
            </w:pPr>
            <w:r>
              <w:rPr>
                <w:b w:val="0"/>
                <w:color w:val="333028"/>
                <w:sz w:val="22"/>
              </w:rPr>
              <w:t>يستلزم توثيق نتائج قابلة للقياس</w:t>
            </w:r>
          </w:p>
        </w:tc>
      </w:tr>
      <w:tr>
        <w:tc>
          <w:tcPr>
            <w:tcW w:type="dxa" w:w="4536"/>
            <w:shd w:val="clear" w:color="auto" w:fill="FFFFFF"/>
          </w:tcPr>
          <w:p>
            <w:pPr>
              <w:bidi/>
              <w:jc w:val="right"/>
            </w:pPr>
            <w:r>
              <w:rPr>
                <w:b/>
                <w:color w:val="0E0E0E"/>
                <w:sz w:val="22"/>
              </w:rPr>
              <w:t>قمة START 2025</w:t>
            </w:r>
          </w:p>
        </w:tc>
        <w:tc>
          <w:tcPr>
            <w:tcW w:type="dxa" w:w="4536"/>
            <w:shd w:val="clear" w:color="auto" w:fill="FFFFFF"/>
          </w:tcPr>
          <w:p>
            <w:pPr>
              <w:bidi/>
              <w:jc w:val="right"/>
            </w:pPr>
            <w:r>
              <w:rPr>
                <w:b w:val="0"/>
                <w:color w:val="333028"/>
                <w:sz w:val="22"/>
              </w:rPr>
              <w:t>الوزارة أعلنت دعم منظمات الشباب والتشغيل</w:t>
            </w:r>
          </w:p>
        </w:tc>
      </w:tr>
      <w:tr>
        <w:tc>
          <w:tcPr>
            <w:tcW w:type="dxa" w:w="4536"/>
            <w:shd w:val="clear" w:color="auto" w:fill="F5F0E8"/>
          </w:tcPr>
          <w:p>
            <w:pPr>
              <w:bidi/>
              <w:jc w:val="right"/>
            </w:pPr>
            <w:r>
              <w:rPr>
                <w:b/>
                <w:color w:val="0E0E0E"/>
                <w:sz w:val="22"/>
              </w:rPr>
              <w:t>هدف مصر 2030</w:t>
            </w:r>
          </w:p>
        </w:tc>
        <w:tc>
          <w:tcPr>
            <w:tcW w:type="dxa" w:w="4536"/>
            <w:shd w:val="clear" w:color="auto" w:fill="F5F0E8"/>
          </w:tcPr>
          <w:p>
            <w:pPr>
              <w:bidi/>
              <w:jc w:val="right"/>
            </w:pPr>
            <w:r>
              <w:rPr>
                <w:b w:val="0"/>
                <w:color w:val="333028"/>
                <w:sz w:val="22"/>
              </w:rPr>
              <w:t>رفع نسبة مشاركة الشباب في سوق العمل إلى 52%</w:t>
            </w:r>
          </w:p>
        </w:tc>
      </w:tr>
    </w:tbl>
    <w:p/>
    <w:p>
      <w:pPr>
        <w:bidi/>
        <w:spacing w:before="160" w:after="120"/>
        <w:jc w:val="right"/>
        <w:shd w:val="clear" w:color="auto" w:fill="0E0E0E"/>
      </w:pPr>
      <w:r>
        <w:rPr>
          <w:rFonts w:ascii="Montserrat" w:hAnsi="Montserrat"/>
          <w:b/>
          <w:color w:val="C8A24C"/>
          <w:sz w:val="26"/>
        </w:rPr>
        <w:t>أولاً: الرعاية الرسمية</w:t>
      </w:r>
    </w:p>
    <w:p>
      <w:pPr>
        <w:bidi/>
        <w:spacing w:before="0" w:after="120"/>
        <w:jc w:val="right"/>
      </w:pPr>
      <w:r>
        <w:rPr>
          <w:rFonts w:ascii="Inter" w:hAnsi="Inter"/>
          <w:b w:val="0"/>
          <w:color w:val="0E0E0E"/>
          <w:sz w:val="22"/>
        </w:rPr>
        <w:t>تطلب MY4 Education الموافقة الرسمية لتصنيفها كشريكة تنفيذية لوزارة التضامن الاجتماعي في مجال تأهيل الشباب وتمكينهم اقتصادياً، مما يُتيح الوصول إلى شبكة الجامعات والمنشآت التدريبية الحكومية.</w:t>
      </w:r>
    </w:p>
    <w:p>
      <w:pPr>
        <w:bidi/>
        <w:spacing w:before="120" w:after="120"/>
        <w:jc w:val="right"/>
        <w:shd w:val="clear" w:color="auto" w:fill="0E0E0E"/>
      </w:pPr>
      <w:r>
        <w:rPr>
          <w:rFonts w:ascii="Montserrat" w:hAnsi="Montserrat"/>
          <w:b/>
          <w:color w:val="C8A24C"/>
          <w:sz w:val="26"/>
        </w:rPr>
        <w:t>ثانياً: التمويل التدريبي</w:t>
      </w:r>
    </w:p>
    <w:p>
      <w:pPr>
        <w:bidi/>
        <w:spacing w:before="0" w:after="120"/>
        <w:jc w:val="right"/>
      </w:pPr>
      <w:r>
        <w:rPr>
          <w:rFonts w:ascii="Inter" w:hAnsi="Inter"/>
          <w:b w:val="0"/>
          <w:color w:val="0E0E0E"/>
          <w:sz w:val="22"/>
        </w:rPr>
        <w:t>تمويل المرحلة التجريبية (60 متدرباً / 10 أشهر) بما يشمل تطوير المناهج، وأتعاب المدربين المتخصصين، والتقييم المستقل للأثر.</w:t>
      </w:r>
    </w:p>
    <w:p>
      <w:r>
        <w:br w:type="page"/>
      </w:r>
    </w:p>
    <w:p>
      <w:pPr>
        <w:bidi/>
        <w:spacing w:before="400" w:after="80"/>
        <w:jc w:val="right"/>
        <w:shd w:val="clear" w:color="auto" w:fill="0E0E0E"/>
      </w:pPr>
      <w:r>
        <w:rPr>
          <w:rFonts w:ascii="Montserrat" w:hAnsi="Montserrat"/>
          <w:b/>
          <w:color w:val="FFFFFF"/>
          <w:sz w:val="64"/>
        </w:rPr>
        <w:t>MY4 Education</w:t>
      </w:r>
    </w:p>
    <w:p>
      <w:pPr>
        <w:bidi/>
        <w:spacing w:before="0" w:after="200"/>
        <w:jc w:val="right"/>
        <w:shd w:val="clear" w:color="auto" w:fill="0E0E0E"/>
      </w:pPr>
      <w:r>
        <w:rPr>
          <w:rFonts w:ascii="Inter" w:hAnsi="Inter"/>
          <w:b w:val="0"/>
          <w:color w:val="C8A24C"/>
          <w:sz w:val="32"/>
        </w:rPr>
        <w:t>تأهيل حقيقي · توظيف حقيقي · أثر وطني</w:t>
      </w:r>
    </w:p>
    <w:p>
      <w:pPr>
        <w:spacing w:before="40" w:after="40"/>
        <w:pBdr>
          <w:bottom w:val="single" w:sz="6" w:space="1" w:color="C8A24C"/>
        </w:pBdr>
      </w:pPr>
    </w:p>
    <w:p>
      <w:pPr>
        <w:bidi/>
        <w:spacing w:before="0" w:after="60"/>
        <w:jc w:val="right"/>
      </w:pPr>
      <w:r>
        <w:rPr>
          <w:rFonts w:ascii="Inter" w:hAnsi="Inter"/>
          <w:b w:val="0"/>
          <w:color w:val="0E0E0E"/>
          <w:sz w:val="24"/>
        </w:rPr>
        <w:t>المؤسس:  محمود جاداللا</w:t>
      </w:r>
    </w:p>
    <w:p>
      <w:pPr>
        <w:bidi/>
        <w:spacing w:before="0" w:after="60"/>
        <w:jc w:val="right"/>
      </w:pPr>
      <w:r>
        <w:rPr>
          <w:rFonts w:ascii="Inter" w:hAnsi="Inter"/>
          <w:b w:val="0"/>
          <w:color w:val="0E0E0E"/>
          <w:sz w:val="24"/>
        </w:rPr>
        <w:t>البريد:  Gadalla111@gmail.com</w:t>
      </w:r>
    </w:p>
    <w:p>
      <w:pPr>
        <w:bidi/>
        <w:spacing w:before="0" w:after="60"/>
        <w:jc w:val="right"/>
      </w:pPr>
      <w:r>
        <w:rPr>
          <w:rFonts w:ascii="Inter" w:hAnsi="Inter"/>
          <w:b w:val="0"/>
          <w:color w:val="0E0E0E"/>
          <w:sz w:val="24"/>
        </w:rPr>
        <w:t>الهاتف:  +20 111 037 111</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