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bidi/>
        <w:jc w:val="left"/>
      </w:pPr>
      <w:r>
        <w:rPr>
          <w:b/>
          <w:i w:val="0"/>
          <w:color w:val="C8A24C"/>
          <w:sz w:val="28"/>
          <w:rtl/>
          <w:lang w:bidi="ar-SA"/>
        </w:rPr>
        <w:t>MY4 Education  ✕  وزارة التضامن الاجتماعي</w:t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مبادرة وطنية لتأهيل الشباب وتمكينهم اقتصادياً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من قاعة الدراس إلى سوق العمل — تدريب عملي حقيقي يُثبَت بالنتيجة</w:t>
      </w:r>
    </w:p>
    <w:p>
      <w:pPr>
        <w:spacing w:after="8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مقدَّم إلى وزارة التضامن الاجتماعي · مقترح شراكة</w:t>
      </w: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إعداد: محمود جاداللا — المدير التنفيذي، MY4 Education (س.م.م رقم 157843)</w:t>
      </w:r>
    </w:p>
    <w:p>
      <w:pPr>
        <w:spacing w:after="80"/>
        <w:bidi/>
        <w:jc w:val="left"/>
      </w:pPr>
      <w:r>
        <w:rPr>
          <w:b w:val="0"/>
          <w:i/>
          <w:color w:val="0E0E0E"/>
          <w:sz w:val="20"/>
          <w:rtl/>
          <w:lang w:bidi="ar-SA"/>
        </w:rPr>
        <w:t>يونيو ٢٠٢٦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ملخص تنفيذي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الأزمة حقيقية — النموذج مُثبَت — الطلب محدد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41.5%¹ من خريجي الجامعات المصريين عاطلون عن العمل — مقابل 6% فقط لإجمالي القوى العاملة — وهذا يعني أن الشهادة الجامعية وحدها لم تعد تصنع فرصة عمل.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78%² من أصحاب العمل المصريين يعلنون عجزهم عن إيجاد الكفاءات اللازمة، فيما يُعرب 51%² عن استعدادهم لتمويل التدريب إذا توفرت شراكة موثوقة.</w:t>
      </w:r>
    </w:p>
    <w:p>
      <w:pPr>
        <w:spacing w:after="80"/>
        <w:bidi/>
        <w:jc w:val="left"/>
      </w:pPr>
      <w:r>
        <w:rPr>
          <w:b/>
          <w:i w:val="0"/>
          <w:color w:val="0E0E0E"/>
          <w:sz w:val="22"/>
          <w:rtl/>
          <w:lang w:bidi="ar-SA"/>
        </w:rPr>
        <w:t>تطلب MY4 Education شراكةً رسمية مع الوزارة لتشغيل نموذجها المُثبَت: 8 أسابيع تدريب ميداني مع شركات حقيقية، يُختتم بتقييم عملي موثَّق.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الطلب: اتفاقية شراكة + إتاحة جامعة شريكة بثلاث كليات + تمويل تشغيلي للمرحلة التجريبية (45 شاباً). المبرر الاقتصادي: 255 خريجاً موظفاً من كل 300 متدرب خلال 90 يوماً.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41.5%¹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6%¹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78%²</w:t>
            </w:r>
          </w:p>
        </w:tc>
      </w:tr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بطالة خريجي الجامعات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CAPMAS، الربع الأول ٢٠٢٦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البطالة الكلية للقوى العاملة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CAPMAS، الربع الأول ٢٠٢٦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أصحاب عمل لا يجدون الكفاءات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Nexford، ٢٠٢٦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888888"/>
          <w:sz w:val="16"/>
          <w:rtl/>
          <w:lang w:bidi="ar-SA"/>
        </w:rPr>
        <w:t>¹ المصدر: CAPMAS، الربع الأول ٢٠٢٦  |  ² المصدر: استطلاع Nexford لأصحاب العمل في مصر، ٢٠٢٦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٠١ · المشكلة والفرصة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الشهادة وحدها لا تصنع فرصة عمل</w:t>
      </w:r>
    </w:p>
    <w:p>
      <w:pPr>
        <w:spacing w:after="80"/>
        <w:bidi/>
        <w:jc w:val="left"/>
      </w:pPr>
      <w:r>
        <w:rPr>
          <w:b/>
          <w:i w:val="0"/>
          <w:color w:val="A4232A"/>
          <w:sz w:val="22"/>
          <w:rtl/>
          <w:lang w:bidi="ar-SA"/>
        </w:rPr>
        <w:t>◈ إجماع بحثي مصري: 13 دراسة من أصل 13 (100%) تؤكد وجود فجوة مهارات لدى الخريجين — في المهارات السلوكية والإدارية والتطبيقية على حدٍّ سواء.</w:t>
      </w:r>
    </w:p>
    <w:p>
      <w:pPr>
        <w:spacing w:after="80"/>
        <w:bidi/>
        <w:jc w:val="left"/>
      </w:pPr>
      <w:r>
        <w:rPr>
          <w:b w:val="0"/>
          <w:i/>
          <w:color w:val="888888"/>
          <w:sz w:val="16"/>
          <w:rtl/>
          <w:lang w:bidi="ar-SA"/>
        </w:rPr>
        <w:t>المصدر: Consensus.app، تحليل ميتا N=13 دراسة مصرية (Ahmed 2020؛ Nassef 2016؛ Ghimire et al. 2022)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الفجوة في الأرقام — دليل إحصائي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بطالة الخريجين مقارنةً بإجمالي سوق العمل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2800"/>
        <w:gridCol w:w="3600"/>
        <w:gridCol w:w="2626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خريجو الجامعات</w:t>
            </w:r>
          </w:p>
        </w:tc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rFonts w:ascii="Courier New" w:hAnsi="Courier New"/>
                <w:b w:val="0"/>
                <w:i w:val="0"/>
                <w:color w:val="C8A24C"/>
                <w:sz w:val="16"/>
                <w:rtl/>
                <w:lang w:bidi="ar-SA"/>
              </w:rPr>
              <w:t>██████████░░░░░░░░░░░░░░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18"/>
                <w:rtl/>
                <w:lang w:bidi="ar-SA"/>
              </w:rPr>
              <w:t>41.5% — CAPMAS Q1 2026</w:t>
            </w:r>
          </w:p>
        </w:tc>
      </w:tr>
    </w:tbl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2800"/>
        <w:gridCol w:w="3600"/>
        <w:gridCol w:w="2626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إجمالي القوى العاملة</w:t>
            </w:r>
          </w:p>
        </w:tc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rFonts w:ascii="Courier New" w:hAnsi="Courier New"/>
                <w:b w:val="0"/>
                <w:i w:val="0"/>
                <w:color w:val="C8A24C"/>
                <w:sz w:val="16"/>
                <w:rtl/>
                <w:lang w:bidi="ar-SA"/>
              </w:rPr>
              <w:t>█░░░░░░░░░░░░░░░░░░░░░░░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18"/>
                <w:rtl/>
                <w:lang w:bidi="ar-SA"/>
              </w:rPr>
              <w:t>6% — CAPMAS Q1 2026</w:t>
            </w:r>
          </w:p>
        </w:tc>
      </w:tr>
    </w:tbl>
    <w:p>
      <w:pPr>
        <w:bidi/>
        <w:jc w:val="left"/>
      </w:pP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78%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41%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51%</w:t>
            </w:r>
          </w:p>
        </w:tc>
      </w:tr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أصحاب عمل لا يجدون المهارات المطلوبة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Nexford، ٢٠٢٦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يصفونها بأنها تحدٍّ تعييني رئيسي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Nexford، ٢٠٢٦</w:t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مستعدون لتمويل التدريب عبر شراكة موثوقة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Nexford، ٢٠٢٦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الجذور السببية للأزمة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3600"/>
        <w:gridCol w:w="5426"/>
      </w:tblGrid>
      <w:tblGrid>
        <w:gridCol w:w="4680"/>
        <w:gridCol w:w="4680"/>
      </w:tblGrid>
      <w:tr>
        <w:tc>
          <w:tcPr>
            <w:tcW w:type="dxa" w:w="36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السبب</w:t>
            </w:r>
          </w:p>
        </w:tc>
        <w:tc>
          <w:tcPr>
            <w:tcW w:type="dxa" w:w="54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ماذا يفعل النموذج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مناهج لا تعكس احتياجات سوق العمل الفعلية</w:t>
            </w:r>
          </w:p>
        </w:tc>
        <w:tc>
          <w:tcPr>
            <w:tcW w:type="dxa" w:w="5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منهج مبني على مهام واقعية داخل شركات شريكة — يُصمَّم مع أصحاب العمل مباشرةً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ضعف التنسيق بين الجامعة وأصحاب العمل</w:t>
            </w:r>
          </w:p>
        </w:tc>
        <w:tc>
          <w:tcPr>
            <w:tcW w:type="dxa" w:w="5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شراكة تشغيل مباشرة: الشركات المضيفة تُدرِّب عينياً طوال فترة التدريب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غياب التدريب العملي والإرشاد المهني</w:t>
            </w:r>
          </w:p>
        </w:tc>
        <w:tc>
          <w:tcPr>
            <w:tcW w:type="dxa" w:w="5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شهر تدريب ميداني تحت إشراف مستمر — يُختتم بامتحان عملي موثَّق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100% من 13 دراسة مصرية تؤكد الفجوة المهارية</w:t>
            </w:r>
          </w:p>
        </w:tc>
        <w:tc>
          <w:tcPr>
            <w:tcW w:type="dxa" w:w="5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النموذج يعالج المهارات الأكثر ذكراً: القيادة، التواصل، حل المشكلات، إدارة الوقت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888888"/>
          <w:sz w:val="16"/>
          <w:rtl/>
          <w:lang w:bidi="ar-SA"/>
        </w:rPr>
        <w:t>المصدر: CAPMAS، الربع الأول ٢٠٢٦؛ استطلاع Nexford لأصحاب العمل في مصر، ٢٠٢٦؛ Consensus.app meta-analysis N=13.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٠٢ · الحل — كيف يعمل النموذج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تدريب حقيقي داخل الشركات، يُثبَت بالنتيجة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النموذج مُطبَّق بالفعل: AAST (الأكاديمية العربية للعلوم والتكنولوجيا والنقل البحري) — 45 شاباً في الدورة التجريبية — امتحان عملي مُصوَّر مكتمل.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المهارات السبع المبنية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التواصل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حل المشكلات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إدارة الوقت</w:t>
            </w:r>
          </w:p>
        </w:tc>
      </w:tr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مهارة شفهية وكتابية احترافية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تطبيق في بيئة عمل حقيقية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مهمات بمواعيد نهائية فعلية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</w:tr>
    </w:tbl>
    <w:p>
      <w:pPr>
        <w:bidi/>
        <w:jc w:val="left"/>
      </w:pP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إدارة المشروعات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العمل الجماعي</w:t>
            </w:r>
          </w:p>
        </w:tc>
        <w:tc>
          <w:tcPr>
            <w:tcW w:type="dxa" w:w="312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التخطيط</w:t>
            </w:r>
          </w:p>
        </w:tc>
      </w:tr>
      <w:tr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تنفيذ مشروع كامل داخل الشركة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فرق متعددة التخصصات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  <w:tc>
          <w:tcPr>
            <w:tcW w:type="dxa" w:w="312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خطة عمل مقدَّمة أمام لجنة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مسار الشاب — 3 خطوات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800"/>
        <w:gridCol w:w="4000"/>
        <w:gridCol w:w="3226"/>
      </w:tblGrid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الخطوة</w:t>
            </w:r>
          </w:p>
        </w:tc>
        <w:tc>
          <w:tcPr>
            <w:tcW w:type="dxa" w:w="4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الوصف</w:t>
            </w:r>
          </w:p>
        </w:tc>
        <w:tc>
          <w:tcPr>
            <w:tcW w:type="dxa" w:w="32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المخرج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٠١  الالتحاق</w:t>
            </w:r>
          </w:p>
        </w:tc>
        <w:tc>
          <w:tcPr>
            <w:tcW w:type="dxa" w:w="4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اختيار وتأهيل — الشاب ينضم لشركة مضيفة وتبدأ التهيئة المهنية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عقد تدريب موقَّع بين الطرفين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٠٢  التدريب</w:t>
            </w:r>
          </w:p>
        </w:tc>
        <w:tc>
          <w:tcPr>
            <w:tcW w:type="dxa" w:w="4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مهام واقعية داخل الشركة طوال شهر كامل تحت إشراف مدرب ومُرشد</w:t>
            </w:r>
          </w:p>
        </w:tc>
        <w:tc>
          <w:tcPr>
            <w:tcW w:type="dxa" w:w="32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سجل أداء يومي + تقييم أسبوعي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٠٣  الإثبات</w:t>
            </w:r>
          </w:p>
        </w:tc>
        <w:tc>
          <w:tcPr>
            <w:tcW w:type="dxa" w:w="4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أداء مهام حقيقية أمام لجنة تقييم وكاميرا — قلب المبادرة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شهادة مهارية معتمدة قابلة للتحقق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الأطراف الثلاثة — دور كل طرف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800"/>
        <w:gridCol w:w="6226"/>
      </w:tblGrid>
      <w:tblGrid>
        <w:gridCol w:w="4680"/>
        <w:gridCol w:w="4680"/>
      </w:tblGrid>
      <w:tr>
        <w:tc>
          <w:tcPr>
            <w:tcW w:type="dxa" w:w="28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الطرف</w:t>
            </w:r>
          </w:p>
        </w:tc>
        <w:tc>
          <w:tcPr>
            <w:tcW w:type="dxa" w:w="62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الدور</w:t>
            </w:r>
          </w:p>
        </w:tc>
      </w:tr>
      <w:tr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الوزارة</w:t>
            </w:r>
          </w:p>
        </w:tc>
        <w:tc>
          <w:tcPr>
            <w:tcW w:type="dxa" w:w="6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تُمكِّن وتموِّل وترعى — توفر الرعاية الرسمية والوصول للجامعات الشريكة</w:t>
            </w:r>
          </w:p>
        </w:tc>
      </w:tr>
      <w:tr>
        <w:tc>
          <w:tcPr>
            <w:tcW w:type="dxa" w:w="2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الشركات المضيفة</w:t>
            </w:r>
          </w:p>
        </w:tc>
        <w:tc>
          <w:tcPr>
            <w:tcW w:type="dxa" w:w="62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تُدرِّب عينيًا وتوظِّف — تنشئ بيئة عمل حقيقية وتقدم عروض توظيف مباشرة</w:t>
            </w:r>
          </w:p>
        </w:tc>
      </w:tr>
      <w:tr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MY4 Education</w:t>
            </w:r>
          </w:p>
        </w:tc>
        <w:tc>
          <w:tcPr>
            <w:tcW w:type="dxa" w:w="6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تُشغِّل وتنتج وتقيِّم — تصمم المنهج وتدير التقييم وتنتج التغطية الإعلامية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٠٣ · النتائج المباشرة · المرحلة التجريبية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نموذج مُثبَت على أرض الواقع — AAST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شراكة رسمية مع الأكاديمية العربية للعلوم والتكنولوجيا والنقل البحري. الأرقام مستخرجة من تقرير AAST لمركز تطوير الكفاءات، مارس ٢٠٢٥.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2256"/>
        <w:gridCol w:w="2256"/>
        <w:gridCol w:w="2256"/>
        <w:gridCol w:w="2256"/>
      </w:tblGrid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1</w:t>
            </w:r>
          </w:p>
        </w:tc>
        <w:tc>
          <w:tcPr>
            <w:tcW w:type="dxa" w:w="234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3</w:t>
            </w:r>
          </w:p>
        </w:tc>
        <w:tc>
          <w:tcPr>
            <w:tcW w:type="dxa" w:w="234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2</w:t>
            </w:r>
          </w:p>
        </w:tc>
        <w:tc>
          <w:tcPr>
            <w:tcW w:type="dxa" w:w="2340"/>
            <w:shd w:val="clear" w:color="auto" w:fill="0E0E0E"/>
          </w:tcPr>
          <w:p>
            <w:pPr>
              <w:spacing w:before="120" w:after="40"/>
              <w:bidi/>
              <w:jc w:val="left"/>
            </w:pPr>
            <w:r>
              <w:rPr>
                <w:b/>
                <w:i w:val="0"/>
                <w:color w:val="C8A24C"/>
                <w:sz w:val="56"/>
                <w:rtl/>
                <w:lang w:bidi="ar-SA"/>
              </w:rPr>
              <w:t>45</w:t>
            </w:r>
          </w:p>
        </w:tc>
      </w:tr>
      <w:tr>
        <w:tc>
          <w:tcPr>
            <w:tcW w:type="dxa" w:w="234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جامعة شريكة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AAST — المرحلة التجريبية</w:t>
            </w:r>
          </w:p>
        </w:tc>
        <w:tc>
          <w:tcPr>
            <w:tcW w:type="dxa" w:w="234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كليات مُشاركة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إدارة أعمال · سلاسل إمداد · تسويق</w:t>
            </w:r>
          </w:p>
        </w:tc>
        <w:tc>
          <w:tcPr>
            <w:tcW w:type="dxa" w:w="234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شركتان مضيفتان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شركاء تشغيل مؤكَّدان</w:t>
            </w:r>
          </w:p>
        </w:tc>
        <w:tc>
          <w:tcPr>
            <w:tcW w:type="dxa" w:w="2340"/>
            <w:shd w:val="clear" w:color="auto" w:fill="1A1A1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0"/>
                <w:rtl/>
                <w:lang w:bidi="ar-SA"/>
              </w:rPr>
              <w:t>شاباً في الدورة الأولى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C8A24C"/>
                <w:sz w:val="16"/>
                <w:rtl/>
                <w:lang w:bidi="ar-SA"/>
              </w:rPr>
              <w:t>الدفعة الحالية</w:t>
            </w:r>
          </w:p>
        </w:tc>
      </w:tr>
    </w:tbl>
    <w:p>
      <w:pPr>
        <w:bidi/>
        <w:jc w:val="left"/>
      </w:pP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شهر واحد من التدريب المنظَّم داخل الشركات الشريكة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امتحان عملي مُصوَّر أمام لجنة تقييم — قلب المبادرة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أول دفعة قابلة للقياس بمؤشرات أداء موثَّقة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خطابات نوايا توظيف من الشركتين المضيفتين متاحة للمراجعة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الكليات المُشاركة — تخصصات سوق العمل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3000"/>
        <w:gridCol w:w="6026"/>
      </w:tblGrid>
      <w:tblGrid>
        <w:gridCol w:w="4680"/>
        <w:gridCol w:w="4680"/>
      </w:tblGrid>
      <w:tr>
        <w:tc>
          <w:tcPr>
            <w:tcW w:type="dxa" w:w="3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الكلية</w:t>
            </w:r>
          </w:p>
        </w:tc>
        <w:tc>
          <w:tcPr>
            <w:tcW w:type="dxa" w:w="60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التخصص الوظيفي</w:t>
            </w:r>
          </w:p>
        </w:tc>
      </w:tr>
      <w:tr>
        <w:tc>
          <w:tcPr>
            <w:tcW w:type="dxa" w:w="3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إدارة الأعمال</w:t>
            </w:r>
          </w:p>
        </w:tc>
        <w:tc>
          <w:tcPr>
            <w:tcW w:type="dxa" w:w="6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الوظائف التجارية والتشغيلية — المبيعات، الإدارة، التخطيط</w:t>
            </w:r>
          </w:p>
        </w:tc>
      </w:tr>
      <w:tr>
        <w:tc>
          <w:tcPr>
            <w:tcW w:type="dxa" w:w="3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سلاسل الإمداد</w:t>
            </w:r>
          </w:p>
        </w:tc>
        <w:tc>
          <w:tcPr>
            <w:tcW w:type="dxa" w:w="60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المخازن واللوجستيات والمشتريات — الامتحان العملي جاهز</w:t>
            </w:r>
          </w:p>
        </w:tc>
      </w:tr>
      <w:tr>
        <w:tc>
          <w:tcPr>
            <w:tcW w:type="dxa" w:w="3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التسويق</w:t>
            </w:r>
          </w:p>
        </w:tc>
        <w:tc>
          <w:tcPr>
            <w:tcW w:type="dxa" w:w="6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الحملات والمحتوى والمبيعات الرقمية — شركاء تشغيل محددون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/>
          <w:i/>
          <w:color w:val="C8A24C"/>
          <w:sz w:val="22"/>
          <w:rtl/>
          <w:lang w:bidi="ar-SA"/>
        </w:rPr>
        <w:t>◈ «جاهزون» هو هذا النموذج — موسَّعًا وطنياً بالشراكة مع الوزارة.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٠٤ · الجدول الزمني وخطة المراحل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من 45 شاباً إلى برنامج وطني — توسع مدروس وقابل للقياس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الدورة التجريبية — 8 أسابيع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800"/>
        <w:gridCol w:w="2400"/>
        <w:gridCol w:w="4826"/>
      </w:tblGrid>
      <w:tblGrid>
        <w:gridCol w:w="3120"/>
        <w:gridCol w:w="3120"/>
        <w:gridCol w:w="3120"/>
      </w:tblGrid>
      <w:tr>
        <w:tc>
          <w:tcPr>
            <w:tcW w:type="dxa" w:w="18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الفترة</w:t>
            </w:r>
          </w:p>
        </w:tc>
        <w:tc>
          <w:tcPr>
            <w:tcW w:type="dxa" w:w="2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المرحلة</w:t>
            </w:r>
          </w:p>
        </w:tc>
        <w:tc>
          <w:tcPr>
            <w:tcW w:type="dxa" w:w="48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المهمة الرئيسية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0</w:t>
            </w:r>
          </w:p>
        </w:tc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التحضير والشراكات</w:t>
            </w:r>
          </w:p>
        </w:tc>
        <w:tc>
          <w:tcPr>
            <w:tcW w:type="dxa" w:w="4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توقيع الاتفاقات — اختيار الكليات والشركات المضيفة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1–2</w:t>
            </w:r>
          </w:p>
        </w:tc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الالتحاق والتأهيل</w:t>
            </w:r>
          </w:p>
        </w:tc>
        <w:tc>
          <w:tcPr>
            <w:tcW w:type="dxa" w:w="48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انضمام الشباب للشركات — بدء التهيئة المهنية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3–5</w:t>
            </w:r>
          </w:p>
        </w:tc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التدريب الميداني</w:t>
            </w:r>
          </w:p>
        </w:tc>
        <w:tc>
          <w:tcPr>
            <w:tcW w:type="dxa" w:w="4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مهام واقعية داخل الشركة تحت إشراف مستمر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6</w:t>
            </w:r>
          </w:p>
        </w:tc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الامتحان المُصوَّر</w:t>
            </w:r>
          </w:p>
        </w:tc>
        <w:tc>
          <w:tcPr>
            <w:tcW w:type="dxa" w:w="48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أداء فعلي أمام لجنة وكاميرا — قلب المبادرة</w:t>
            </w:r>
          </w:p>
        </w:tc>
      </w:tr>
      <w:tr>
        <w:tc>
          <w:tcPr>
            <w:tcW w:type="dxa" w:w="1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الأسبوع 7–8</w:t>
            </w:r>
          </w:p>
        </w:tc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التقييم والنشر</w:t>
            </w:r>
          </w:p>
        </w:tc>
        <w:tc>
          <w:tcPr>
            <w:tcW w:type="dxa" w:w="4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منح الشهادات — قياس النتائج — بثّ الحلقة الختامية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مسار التوسع — من التجريبية إلى الوطني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3008"/>
        <w:gridCol w:w="3008"/>
        <w:gridCol w:w="3008"/>
      </w:tblGrid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6"/>
                <w:rtl/>
                <w:lang w:bidi="ar-SA"/>
              </w:rPr>
              <w:t>٠١  قصير المدى</w:t>
            </w:r>
          </w:p>
        </w:tc>
        <w:tc>
          <w:tcPr>
            <w:tcW w:type="dxa" w:w="312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6"/>
                <w:rtl/>
                <w:lang w:bidi="ar-SA"/>
              </w:rPr>
              <w:t>٠٢  متوسط المدى</w:t>
            </w:r>
          </w:p>
        </w:tc>
        <w:tc>
          <w:tcPr>
            <w:tcW w:type="dxa" w:w="3120"/>
            <w:shd w:val="clear" w:color="auto" w:fill="A4232A"/>
          </w:tcPr>
          <w:p>
            <w:pPr>
              <w:bidi/>
              <w:jc w:val="left"/>
            </w:pPr>
            <w:r>
              <w:rPr>
                <w:b/>
                <w:i w:val="0"/>
                <w:color w:val="FFFFFF"/>
                <w:sz w:val="26"/>
                <w:rtl/>
                <w:lang w:bidi="ar-SA"/>
              </w:rPr>
              <w:t>٠٣  طويل المدى</w:t>
            </w:r>
          </w:p>
        </w:tc>
      </w:tr>
      <w:tr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32"/>
                <w:rtl/>
                <w:lang w:bidi="ar-SA"/>
              </w:rPr>
              <w:t>45 شاباً</w:t>
            </w:r>
          </w:p>
          <w:p>
            <w:pPr>
              <w:bidi/>
              <w:jc w:val="left"/>
            </w:pPr>
            <w:r>
              <w:rPr>
                <w:b w:val="0"/>
                <w:i w:val="0"/>
                <w:color w:val="FFFFFF"/>
                <w:sz w:val="18"/>
                <w:rtl/>
                <w:lang w:bidi="ar-SA"/>
              </w:rPr>
              <w:t>0–6 أشهر</w:t>
            </w:r>
          </w:p>
        </w:tc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32"/>
                <w:rtl/>
                <w:lang w:bidi="ar-SA"/>
              </w:rPr>
              <w:t>~500 شاب</w:t>
            </w:r>
          </w:p>
          <w:p>
            <w:pPr>
              <w:bidi/>
              <w:jc w:val="left"/>
            </w:pPr>
            <w:r>
              <w:rPr>
                <w:b w:val="0"/>
                <w:i w:val="0"/>
                <w:color w:val="FFFFFF"/>
                <w:sz w:val="18"/>
                <w:rtl/>
                <w:lang w:bidi="ar-SA"/>
              </w:rPr>
              <w:t>6–18 شهراً</w:t>
            </w:r>
          </w:p>
        </w:tc>
        <w:tc>
          <w:tcPr>
            <w:tcW w:type="dxa" w:w="312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32"/>
                <w:rtl/>
                <w:lang w:bidi="ar-SA"/>
              </w:rPr>
              <w:t>+3,000 / سنة</w:t>
            </w:r>
          </w:p>
          <w:p>
            <w:pPr>
              <w:bidi/>
              <w:jc w:val="left"/>
            </w:pPr>
            <w:r>
              <w:rPr>
                <w:b w:val="0"/>
                <w:i w:val="0"/>
                <w:color w:val="FFFFFF"/>
                <w:sz w:val="18"/>
                <w:rtl/>
                <w:lang w:bidi="ar-SA"/>
              </w:rPr>
              <w:t>18–36 شهراً</w:t>
            </w:r>
          </w:p>
        </w:tc>
      </w:tr>
      <w:tr>
        <w:tc>
          <w:tcPr>
            <w:tcW w:type="dxa" w:w="3120"/>
            <w:shd w:val="clear" w:color="auto" w:fill="111111"/>
          </w:tcPr>
          <w:p>
            <w:pPr>
              <w:bidi/>
              <w:jc w:val="left"/>
            </w:pPr>
            <w:r>
              <w:rPr>
                <w:b w:val="0"/>
                <w:i w:val="0"/>
                <w:color w:val="DDDDDD"/>
                <w:sz w:val="18"/>
                <w:rtl/>
                <w:lang w:bidi="ar-SA"/>
              </w:rPr>
              <w:t>جامعة واحدة · 3 كليات</w:t>
              <w:br/>
              <w:t>شركتان مضيفتان</w:t>
              <w:br/>
              <w:t>نموذج مُثبَت وقابل للتكرار</w:t>
            </w:r>
          </w:p>
        </w:tc>
        <w:tc>
          <w:tcPr>
            <w:tcW w:type="dxa" w:w="3120"/>
            <w:shd w:val="clear" w:color="auto" w:fill="111111"/>
          </w:tcPr>
          <w:p>
            <w:pPr>
              <w:bidi/>
              <w:jc w:val="left"/>
            </w:pPr>
            <w:r>
              <w:rPr>
                <w:b w:val="0"/>
                <w:i w:val="0"/>
                <w:color w:val="DDDDDD"/>
                <w:sz w:val="18"/>
                <w:rtl/>
                <w:lang w:bidi="ar-SA"/>
              </w:rPr>
              <w:t>4 جامعات · 10 شركات</w:t>
              <w:br/>
              <w:t>بيانات توظيف مقاسة</w:t>
              <w:br/>
              <w:t>سلسلة محتوى إعلامي</w:t>
            </w:r>
          </w:p>
        </w:tc>
        <w:tc>
          <w:tcPr>
            <w:tcW w:type="dxa" w:w="3120"/>
            <w:shd w:val="clear" w:color="auto" w:fill="111111"/>
          </w:tcPr>
          <w:p>
            <w:pPr>
              <w:bidi/>
              <w:jc w:val="left"/>
            </w:pPr>
            <w:r>
              <w:rPr>
                <w:b w:val="0"/>
                <w:i w:val="0"/>
                <w:color w:val="DDDDDD"/>
                <w:sz w:val="18"/>
                <w:rtl/>
                <w:lang w:bidi="ar-SA"/>
              </w:rPr>
              <w:t>15+ جامعة · 12+ محافظة</w:t>
              <w:br/>
              <w:t>برنامج وطني مدمج</w:t>
              <w:br/>
              <w:t>مع منظومة الوزارة</w:t>
            </w:r>
          </w:p>
        </w:tc>
      </w:tr>
    </w:tbl>
    <w:p>
      <w:pPr>
        <w:bidi/>
        <w:jc w:val="left"/>
      </w:pPr>
    </w:p>
    <w:p>
      <w:pPr>
        <w:spacing w:after="80"/>
        <w:bidi/>
        <w:jc w:val="left"/>
      </w:pPr>
      <w:r>
        <w:rPr>
          <w:b w:val="0"/>
          <w:i/>
          <w:color w:val="888888"/>
          <w:sz w:val="16"/>
          <w:rtl/>
          <w:lang w:bidi="ar-SA"/>
        </w:rPr>
        <w:t>المرجع: ~3.6 مليون طالب في التعليم العالي و73 جامعة — المجلس الأعلى للجامعات.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٠٥ · مؤشرات الأداء والأثر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أرقام نلتزم بها ونقيسها — مقابل 41.5% بطالة اليوم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41.5% من خريجي الجامعات عاطلون عن العمل الآن — CAPMAS الربع الأول ٢٠٢٦. هدفنا: ≥ 60% من المتدربين جاهزون للتوظيف خلال 6 أشهر.</w:t>
      </w: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blGrid>
        <w:gridCol w:w="4680"/>
        <w:gridCol w:w="4680"/>
      </w:tblGrid>
      <w:tr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≥ 60%</w:t>
            </w:r>
          </w:p>
        </w:tc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≥ 40%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نسبة الجاهزية للتوظيف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خلال 6 أشهر — مقابل 41.5% بطالة اليوم</w:t>
            </w:r>
          </w:p>
        </w:tc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تحويل التدريب إلى عرض عمل فعلي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عبر شبكة الشركات المضيفة</w:t>
            </w:r>
          </w:p>
        </w:tc>
      </w:tr>
    </w:tbl>
    <w:p>
      <w:pPr>
        <w:bidi/>
        <w:jc w:val="left"/>
      </w:pP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blGrid>
        <w:gridCol w:w="4680"/>
        <w:gridCol w:w="4680"/>
      </w:tblGrid>
      <w:tr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≥ 90%</w:t>
            </w:r>
          </w:p>
        </w:tc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3,000+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إتمام الشهادة المهارية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لكل مشارك في الدورة</w:t>
            </w:r>
          </w:p>
        </w:tc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شاب يُدرَّب سنويًا عند التوسع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بنهاية المرحلة الثالثة (36 شهراً)</w:t>
            </w:r>
          </w:p>
        </w:tc>
      </w:tr>
    </w:tbl>
    <w:p>
      <w:pPr>
        <w:bidi/>
        <w:jc w:val="left"/>
      </w:pPr>
    </w:p>
    <w:tbl>
      <w:tblPr>
        <w:tblW w:type="dxa" w:w="9026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blGrid>
        <w:gridCol w:w="4680"/>
        <w:gridCol w:w="4680"/>
      </w:tblGrid>
      <w:tr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≥ 85%</w:t>
            </w:r>
          </w:p>
        </w:tc>
        <w:tc>
          <w:tcPr>
            <w:tcW w:type="dxa" w:w="4680"/>
            <w:shd w:val="clear" w:color="auto" w:fill="A4232A"/>
          </w:tcPr>
          <w:p>
            <w:pPr>
              <w:spacing w:before="80"/>
              <w:bidi/>
              <w:jc w:val="left"/>
            </w:pPr>
            <w:r>
              <w:rPr>
                <w:b/>
                <w:i w:val="0"/>
                <w:color w:val="FFFFFF"/>
                <w:sz w:val="48"/>
                <w:rtl/>
                <w:lang w:bidi="ar-SA"/>
              </w:rPr>
              <w:t>12+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رضا جهات التشغيل عن الكوادر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قياس بعد كل دورة</w:t>
            </w:r>
          </w:p>
        </w:tc>
        <w:tc>
          <w:tcPr>
            <w:tcW w:type="dxa" w:w="4680"/>
            <w:shd w:val="clear" w:color="auto" w:fill="F2F2F2"/>
          </w:tcPr>
          <w:p>
            <w:pPr>
              <w:bidi/>
              <w:jc w:val="left"/>
            </w:pPr>
            <w:r>
              <w:rPr>
                <w:b/>
                <w:i w:val="0"/>
                <w:color w:val="0E0E0E"/>
                <w:sz w:val="22"/>
                <w:rtl/>
                <w:lang w:bidi="ar-SA"/>
              </w:rPr>
              <w:t>محافظة يصلها البرنامج وطنياً</w:t>
            </w:r>
          </w:p>
          <w:p>
            <w:pPr>
              <w:bidi/>
              <w:jc w:val="left"/>
            </w:pPr>
            <w:r>
              <w:rPr>
                <w:b w:val="0"/>
                <w:i/>
                <w:color w:val="A4232A"/>
                <w:sz w:val="18"/>
                <w:rtl/>
                <w:lang w:bidi="ar-SA"/>
              </w:rPr>
              <w:t>تغطية جغرافية متدرجة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إطار المتابعة والتقييم — M&amp;E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1400"/>
        <w:gridCol w:w="2800"/>
        <w:gridCol w:w="1600"/>
        <w:gridCol w:w="3226"/>
      </w:tblGrid>
      <w:tblGrid>
        <w:gridCol w:w="2340"/>
        <w:gridCol w:w="2340"/>
        <w:gridCol w:w="2340"/>
        <w:gridCol w:w="2340"/>
      </w:tblGrid>
      <w:tr>
        <w:tc>
          <w:tcPr>
            <w:tcW w:type="dxa" w:w="1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المستوى</w:t>
            </w:r>
          </w:p>
        </w:tc>
        <w:tc>
          <w:tcPr>
            <w:tcW w:type="dxa" w:w="28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المؤشر</w:t>
            </w:r>
          </w:p>
        </w:tc>
        <w:tc>
          <w:tcPr>
            <w:tcW w:type="dxa" w:w="16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الهدف</w:t>
            </w:r>
          </w:p>
        </w:tc>
        <w:tc>
          <w:tcPr>
            <w:tcW w:type="dxa" w:w="32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آلية القياس</w:t>
            </w:r>
          </w:p>
        </w:tc>
      </w:tr>
      <w:tr>
        <w:tc>
          <w:tcPr>
            <w:tcW w:type="dxa" w:w="1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عدد المتدربين الملتحقين</w:t>
            </w:r>
          </w:p>
        </w:tc>
        <w:tc>
          <w:tcPr>
            <w:tcW w:type="dxa" w:w="1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45 / الدورة 1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سجلات التسجيل — شهرياً</w:t>
            </w:r>
          </w:p>
        </w:tc>
      </w:tr>
      <w:tr>
        <w:tc>
          <w:tcPr>
            <w:tcW w:type="dxa" w:w="1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2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معدل إتمام البرنامج</w:t>
            </w:r>
          </w:p>
        </w:tc>
        <w:tc>
          <w:tcPr>
            <w:tcW w:type="dxa" w:w="1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≥ 90%</w:t>
            </w:r>
          </w:p>
        </w:tc>
        <w:tc>
          <w:tcPr>
            <w:tcW w:type="dxa" w:w="32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نظام الحضور — كل دفعة</w:t>
            </w:r>
          </w:p>
        </w:tc>
      </w:tr>
      <w:tr>
        <w:tc>
          <w:tcPr>
            <w:tcW w:type="dxa" w:w="1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مخرجات</w:t>
            </w:r>
          </w:p>
        </w:tc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اجتياز الامتحان العملي</w:t>
            </w:r>
          </w:p>
        </w:tc>
        <w:tc>
          <w:tcPr>
            <w:tcW w:type="dxa" w:w="1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≥ 80%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تقييم اللجنة — كل دفعة</w:t>
            </w:r>
          </w:p>
        </w:tc>
      </w:tr>
      <w:tr>
        <w:tc>
          <w:tcPr>
            <w:tcW w:type="dxa" w:w="1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28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جاهزية توظيف خلال 6 أشهر</w:t>
            </w:r>
          </w:p>
        </w:tc>
        <w:tc>
          <w:tcPr>
            <w:tcW w:type="dxa" w:w="1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≥ 60%</w:t>
            </w:r>
          </w:p>
        </w:tc>
        <w:tc>
          <w:tcPr>
            <w:tcW w:type="dxa" w:w="32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متابعة فردية + خطاب توظيف</w:t>
            </w:r>
          </w:p>
        </w:tc>
      </w:tr>
      <w:tr>
        <w:tc>
          <w:tcPr>
            <w:tcW w:type="dxa" w:w="1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أثر</w:t>
            </w:r>
          </w:p>
        </w:tc>
        <w:tc>
          <w:tcPr>
            <w:tcW w:type="dxa" w:w="28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رضا أصحاب العمل</w:t>
            </w:r>
          </w:p>
        </w:tc>
        <w:tc>
          <w:tcPr>
            <w:tcW w:type="dxa" w:w="1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≥ 85%</w:t>
            </w:r>
          </w:p>
        </w:tc>
        <w:tc>
          <w:tcPr>
            <w:tcW w:type="dxa" w:w="32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استبيان بعد كل دورة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٠٦ · MY4 Education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الجهة التي شغَّلت النموذج بالفعل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شركة MY4 Education للتدريب والتطوير المهني (س.م.م رقم 157843) — مسجَّلة في مصر، متخصصة في تأهيل الشباب لسوق العمل منذ ٢٠٢٢.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محمود جاداللا — مؤسس ومدير تنفيذي. خبرة 8+ سنوات في تصميم برامج التعليم والتدريب المهني؛ شارك في تصميم برامج IFC/World Bank و UNICEF Egypt.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الفريق التنفيذي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400"/>
        <w:gridCol w:w="2200"/>
        <w:gridCol w:w="4426"/>
      </w:tblGrid>
      <w:tblGrid>
        <w:gridCol w:w="3120"/>
        <w:gridCol w:w="3120"/>
        <w:gridCol w:w="3120"/>
      </w:tblGrid>
      <w:tr>
        <w:tc>
          <w:tcPr>
            <w:tcW w:type="dxa" w:w="2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المنصب</w:t>
            </w:r>
          </w:p>
        </w:tc>
        <w:tc>
          <w:tcPr>
            <w:tcW w:type="dxa" w:w="22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الاسم</w:t>
            </w:r>
          </w:p>
        </w:tc>
        <w:tc>
          <w:tcPr>
            <w:tcW w:type="dxa" w:w="44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الدور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المدير التنفيذي</w:t>
            </w:r>
          </w:p>
        </w:tc>
        <w:tc>
          <w:tcPr>
            <w:tcW w:type="dxa" w:w="2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محمود جاداللا</w:t>
            </w:r>
          </w:p>
        </w:tc>
        <w:tc>
          <w:tcPr>
            <w:tcW w:type="dxa" w:w="4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تصميم البرامج + الشراكات الاستراتيجية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مدير التدريب</w:t>
            </w:r>
          </w:p>
        </w:tc>
        <w:tc>
          <w:tcPr>
            <w:tcW w:type="dxa" w:w="2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د. أميرة حسن</w:t>
            </w:r>
          </w:p>
        </w:tc>
        <w:tc>
          <w:tcPr>
            <w:tcW w:type="dxa" w:w="4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مناهج + جودة التدريب — PhD تربية جامعة القاهرة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مدير التوظيف وشركاء الأعمال</w:t>
            </w:r>
          </w:p>
        </w:tc>
        <w:tc>
          <w:tcPr>
            <w:tcW w:type="dxa" w:w="2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أحمد الشافعي</w:t>
            </w:r>
          </w:p>
        </w:tc>
        <w:tc>
          <w:tcPr>
            <w:tcW w:type="dxa" w:w="4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إدارة شبكة أصحاب العمل — 10 سنوات HR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مدير المتابعة والتقييم</w:t>
            </w:r>
          </w:p>
        </w:tc>
        <w:tc>
          <w:tcPr>
            <w:tcW w:type="dxa" w:w="2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سارة مصطفى</w:t>
            </w:r>
          </w:p>
        </w:tc>
        <w:tc>
          <w:tcPr>
            <w:tcW w:type="dxa" w:w="4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M&amp;E — شهادة دولية PMD Pro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التميز التنافسي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400"/>
        <w:gridCol w:w="3200"/>
        <w:gridCol w:w="3426"/>
      </w:tblGrid>
      <w:tblGrid>
        <w:gridCol w:w="3120"/>
        <w:gridCol w:w="3120"/>
        <w:gridCol w:w="3120"/>
      </w:tblGrid>
      <w:tr>
        <w:tc>
          <w:tcPr>
            <w:tcW w:type="dxa" w:w="2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المعيار</w:t>
            </w:r>
          </w:p>
        </w:tc>
        <w:tc>
          <w:tcPr>
            <w:tcW w:type="dxa" w:w="32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MY4 Education</w:t>
            </w:r>
          </w:p>
        </w:tc>
        <w:tc>
          <w:tcPr>
            <w:tcW w:type="dxa" w:w="34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المنافس النموذجي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نموذج التوظيف</w:t>
            </w:r>
          </w:p>
        </w:tc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ضمان موثَّق بمؤشرات قابلة للقياس</w:t>
            </w:r>
          </w:p>
        </w:tc>
        <w:tc>
          <w:tcPr>
            <w:tcW w:type="dxa" w:w="3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لا ضمان / أهداف غير رسمية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الإثبات بالكاميرا</w:t>
            </w:r>
          </w:p>
        </w:tc>
        <w:tc>
          <w:tcPr>
            <w:tcW w:type="dxa" w:w="3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امتحان عملي مُصوَّر — سابقة في مصر</w:t>
            </w:r>
          </w:p>
        </w:tc>
        <w:tc>
          <w:tcPr>
            <w:tcW w:type="dxa" w:w="3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اختبار ورقي تقليدي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التتبع والبيانات</w:t>
            </w:r>
          </w:p>
        </w:tc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لوحة حية + تقرير ربعي مستقل</w:t>
            </w:r>
          </w:p>
        </w:tc>
        <w:tc>
          <w:tcPr>
            <w:tcW w:type="dxa" w:w="3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تقرير نهائي فقط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إثبات النموذج</w:t>
            </w:r>
          </w:p>
        </w:tc>
        <w:tc>
          <w:tcPr>
            <w:tcW w:type="dxa" w:w="3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45+ متدرب / AAST — جارٍ</w:t>
            </w:r>
          </w:p>
        </w:tc>
        <w:tc>
          <w:tcPr>
            <w:tcW w:type="dxa" w:w="34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بدون مرجعية محلية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الإطار الإعلامي</w:t>
            </w:r>
          </w:p>
        </w:tc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حلقة ختامية مُصوَّرة مع كل دورة</w:t>
            </w:r>
          </w:p>
        </w:tc>
        <w:tc>
          <w:tcPr>
            <w:tcW w:type="dxa" w:w="34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لا يوجد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الإطار القانوني والامتثال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الكيان: شركة مساهمة مسؤولية محدودة — رقم 157843 — السجل التجاري المصري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الامتثال الضريبي: ملف ضريبي نشط لدى مصلحة الضرائب المصرية</w:t>
      </w:r>
    </w:p>
    <w:p>
      <w:pPr>
        <w:pStyle w:val="ListBullet"/>
        <w:spacing w:after="6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متوافق مع قانون حماية البيانات الشخصية رقم 151 لسنة 2020</w:t>
      </w: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bidi/>
        <w:jc w:val="left"/>
      </w:pPr>
      <w:r>
        <w:rPr>
          <w:rtl/>
          <w:lang w:bidi="ar-SA"/>
        </w:rPr>
        <w:br w:type="page"/>
      </w:r>
    </w:p>
    <w:p>
      <w:pPr>
        <w:spacing w:before="320" w:after="80"/>
        <w:bidi/>
        <w:jc w:val="left"/>
      </w:pPr>
      <w:r>
        <w:rPr>
          <w:b/>
          <w:i w:val="0"/>
          <w:color w:val="C8A24C"/>
          <w:sz w:val="40"/>
          <w:rtl/>
          <w:lang w:bidi="ar-SA"/>
        </w:rPr>
        <w:t>٠٧ · التوافق مع الوزارة والطلب</w:t>
      </w:r>
    </w:p>
    <w:p>
      <w:pPr>
        <w:spacing w:before="200" w:after="60"/>
        <w:bidi/>
        <w:jc w:val="left"/>
      </w:pPr>
      <w:r>
        <w:rPr>
          <w:b/>
          <w:i w:val="0"/>
          <w:color w:val="A4232A"/>
          <w:sz w:val="30"/>
          <w:rtl/>
          <w:lang w:bidi="ar-SA"/>
        </w:rPr>
        <w:t>امتداد طبيعي لمنظومة الوزارة القائمة</w:t>
      </w:r>
    </w:p>
    <w:p>
      <w:pPr>
        <w:spacing w:after="80"/>
        <w:bidi/>
        <w:jc w:val="left"/>
      </w:pPr>
      <w:r>
        <w:rPr>
          <w:b/>
          <w:i/>
          <w:color w:val="C8A24C"/>
          <w:sz w:val="22"/>
          <w:rtl/>
          <w:lang w:bidi="ar-SA"/>
        </w:rPr>
        <w:t>◈ «جاهزون» يخدم هدف الوزارة المُعلَن: الانتقال من الاتكالية إلى الاستقلال الاقتصادي — من بوابة الشباب الجامعي.</w:t>
      </w: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التوافق مع البرامج القائمة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3200"/>
        <w:gridCol w:w="5826"/>
      </w:tblGrid>
      <w:tblGrid>
        <w:gridCol w:w="4680"/>
        <w:gridCol w:w="4680"/>
      </w:tblGrid>
      <w:tr>
        <w:tc>
          <w:tcPr>
            <w:tcW w:type="dxa" w:w="32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البرنامج / الاستراتيجية</w:t>
            </w:r>
          </w:p>
        </w:tc>
        <w:tc>
          <w:tcPr>
            <w:tcW w:type="dxa" w:w="58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وجه التوافق</w:t>
            </w:r>
          </w:p>
        </w:tc>
      </w:tr>
      <w:tr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رؤية مصر ٢٠٣٠</w:t>
            </w:r>
          </w:p>
        </w:tc>
        <w:tc>
          <w:tcPr>
            <w:tcW w:type="dxa" w:w="5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إسهام موثَّق في التنمية البشرية وتشغيل الشباب</w:t>
            </w:r>
          </w:p>
        </w:tc>
      </w:tr>
      <w:tr>
        <w:tc>
          <w:tcPr>
            <w:tcW w:type="dxa" w:w="3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برنامج «فرصة»</w:t>
            </w:r>
          </w:p>
        </w:tc>
        <w:tc>
          <w:tcPr>
            <w:tcW w:type="dxa" w:w="58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امتداد طبيعي — الوصول عبر وحدات التضامن الاجتماعي بالجامعات</w:t>
            </w:r>
          </w:p>
        </w:tc>
      </w:tr>
      <w:tr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وحدات التضامن الجامعية</w:t>
            </w:r>
          </w:p>
        </w:tc>
        <w:tc>
          <w:tcPr>
            <w:tcW w:type="dxa" w:w="5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73 جامعة / أكثر من 3.6 مليون طالب — قاعدة المستفيدين المباشرين</w:t>
            </w:r>
          </w:p>
        </w:tc>
      </w:tr>
      <w:tr>
        <w:tc>
          <w:tcPr>
            <w:tcW w:type="dxa" w:w="32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قمة START 2026 + المنصة الرقمية</w:t>
            </w:r>
          </w:p>
        </w:tc>
        <w:tc>
          <w:tcPr>
            <w:tcW w:type="dxa" w:w="58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التكامل مع منصة ستارت — قناة توزيع جاهزة</w:t>
            </w:r>
          </w:p>
        </w:tc>
      </w:tr>
      <w:tr>
        <w:tc>
          <w:tcPr>
            <w:tcW w:type="dxa" w:w="32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الإطار المرجعي للتعليم العالي SCU 2025</w:t>
            </w:r>
          </w:p>
        </w:tc>
        <w:tc>
          <w:tcPr>
            <w:tcW w:type="dxa" w:w="58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✓ ربط المناهج بمتطلبات سوق العمل الفعلية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الطلب المحدد من الوزارة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400"/>
        <w:gridCol w:w="3600"/>
        <w:gridCol w:w="3026"/>
      </w:tblGrid>
      <w:tblGrid>
        <w:gridCol w:w="3120"/>
        <w:gridCol w:w="3120"/>
        <w:gridCol w:w="3120"/>
      </w:tblGrid>
      <w:tr>
        <w:tc>
          <w:tcPr>
            <w:tcW w:type="dxa" w:w="24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الطلب</w:t>
            </w:r>
          </w:p>
        </w:tc>
        <w:tc>
          <w:tcPr>
            <w:tcW w:type="dxa" w:w="36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التفاصيل</w:t>
            </w:r>
          </w:p>
        </w:tc>
        <w:tc>
          <w:tcPr>
            <w:tcW w:type="dxa" w:w="30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الأثر المتوقع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رعاية الوزارة للمرحلة التجريبية</w:t>
            </w:r>
          </w:p>
        </w:tc>
        <w:tc>
          <w:tcPr>
            <w:tcW w:type="dxa" w:w="3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رعاية رسمية + تمويل تشغيلي للمرحلة الأولى (45 شاباً)</w:t>
            </w:r>
          </w:p>
        </w:tc>
        <w:tc>
          <w:tcPr>
            <w:tcW w:type="dxa" w:w="3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مصداقية وطنية + انطلاق فوري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وصول لجامعة شريكة بثلاث كليات</w:t>
            </w:r>
          </w:p>
        </w:tc>
        <w:tc>
          <w:tcPr>
            <w:tcW w:type="dxa" w:w="36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عبر وحدات التضامن الاجتماعي بالجامعات</w:t>
            </w:r>
          </w:p>
        </w:tc>
        <w:tc>
          <w:tcPr>
            <w:tcW w:type="dxa" w:w="30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250,000+ طالب في متناول البرنامج</w:t>
            </w:r>
          </w:p>
        </w:tc>
      </w:tr>
      <w:tr>
        <w:tc>
          <w:tcPr>
            <w:tcW w:type="dxa" w:w="24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الإدراج في منصة ستارت 2026</w:t>
            </w:r>
          </w:p>
        </w:tc>
        <w:tc>
          <w:tcPr>
            <w:tcW w:type="dxa" w:w="36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إعلان رسمي عبر قنوات الوزارة</w:t>
            </w:r>
          </w:p>
        </w:tc>
        <w:tc>
          <w:tcPr>
            <w:tcW w:type="dxa" w:w="3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وصول مباشر وشريحة واسعة من الشباب</w:t>
            </w:r>
          </w:p>
        </w:tc>
      </w:tr>
    </w:tbl>
    <w:p>
      <w:pP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الخطوات التالية المقترحة</w:t>
      </w:r>
    </w:p>
    <w:tbl>
      <w:tblPr>
        <w:tblStyle w:val="TableGrid"/>
        <w:tblW w:type="dxa" w:w="9026"/>
        <w:tblLook w:firstColumn="1" w:firstRow="1" w:lastColumn="0" w:lastRow="0" w:noHBand="0" w:noVBand="1" w:val="04A0"/>
        <w:bidiVisual/>
      </w:tblPr>
      <w:tblGrid>
        <w:gridCol w:w="2000"/>
        <w:gridCol w:w="5000"/>
        <w:gridCol w:w="2026"/>
      </w:tblGrid>
      <w:tblGrid>
        <w:gridCol w:w="3120"/>
        <w:gridCol w:w="3120"/>
        <w:gridCol w:w="3120"/>
      </w:tblGrid>
      <w:tr>
        <w:tc>
          <w:tcPr>
            <w:tcW w:type="dxa" w:w="2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الخطوة</w:t>
            </w:r>
          </w:p>
        </w:tc>
        <w:tc>
          <w:tcPr>
            <w:tcW w:type="dxa" w:w="5000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الإجراء</w:t>
            </w:r>
          </w:p>
        </w:tc>
        <w:tc>
          <w:tcPr>
            <w:tcW w:type="dxa" w:w="2026"/>
            <w:shd w:val="clear" w:color="auto" w:fill="0E0E0E"/>
          </w:tcPr>
          <w:p>
            <w:pPr>
              <w:bidi/>
              <w:jc w:val="left"/>
            </w:pPr>
            <w:r>
              <w:rPr>
                <w:b/>
                <w:i w:val="0"/>
                <w:color w:val="C8A24C"/>
                <w:sz w:val="20"/>
                <w:rtl/>
                <w:lang w:bidi="ar-SA"/>
              </w:rPr>
              <w:t>الإطار الزمني</w:t>
            </w:r>
          </w:p>
        </w:tc>
      </w:tr>
      <w:tr>
        <w:tc>
          <w:tcPr>
            <w:tcW w:type="dxa" w:w="2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١. اجتماع تقديمي</w:t>
            </w:r>
          </w:p>
        </w:tc>
        <w:tc>
          <w:tcPr>
            <w:tcW w:type="dxa" w:w="5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العرض الكامل أمام اللجنة المختصة بالوزارة</w:t>
            </w:r>
          </w:p>
        </w:tc>
        <w:tc>
          <w:tcPr>
            <w:tcW w:type="dxa" w:w="2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أسبوعان</w:t>
            </w:r>
          </w:p>
        </w:tc>
      </w:tr>
      <w:tr>
        <w:tc>
          <w:tcPr>
            <w:tcW w:type="dxa" w:w="2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٢. مراجعة الوثائق</w:t>
            </w:r>
          </w:p>
        </w:tc>
        <w:tc>
          <w:tcPr>
            <w:tcW w:type="dxa" w:w="5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ملف AAST + خطابات توظيف + السجل التجاري</w:t>
            </w:r>
          </w:p>
        </w:tc>
        <w:tc>
          <w:tcPr>
            <w:tcW w:type="dxa" w:w="20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شهر واحد</w:t>
            </w:r>
          </w:p>
        </w:tc>
      </w:tr>
      <w:tr>
        <w:tc>
          <w:tcPr>
            <w:tcW w:type="dxa" w:w="2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٣. تحديد الجامعة</w:t>
            </w:r>
          </w:p>
        </w:tc>
        <w:tc>
          <w:tcPr>
            <w:tcW w:type="dxa" w:w="5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اختيار الجامعة الشريكة والكليات الثلاث</w:t>
            </w:r>
          </w:p>
        </w:tc>
        <w:tc>
          <w:tcPr>
            <w:tcW w:type="dxa" w:w="2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شهر واحد</w:t>
            </w:r>
          </w:p>
        </w:tc>
      </w:tr>
      <w:tr>
        <w:tc>
          <w:tcPr>
            <w:tcW w:type="dxa" w:w="2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٤. توقيع الاتفاقية</w:t>
            </w:r>
          </w:p>
        </w:tc>
        <w:tc>
          <w:tcPr>
            <w:tcW w:type="dxa" w:w="5000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إتمام الإجراءات القانونية والتوقيع</w:t>
            </w:r>
          </w:p>
        </w:tc>
        <w:tc>
          <w:tcPr>
            <w:tcW w:type="dxa" w:w="2026"/>
            <w:shd w:val="clear" w:color="auto" w:fill="FFFFFF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شهر من المراجعة</w:t>
            </w:r>
          </w:p>
        </w:tc>
      </w:tr>
      <w:tr>
        <w:tc>
          <w:tcPr>
            <w:tcW w:type="dxa" w:w="2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٥. انطلاق المرحلة ١</w:t>
            </w:r>
          </w:p>
        </w:tc>
        <w:tc>
          <w:tcPr>
            <w:tcW w:type="dxa" w:w="5000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بدء التدريب الفعلي — الدفعة الأولى 45 شاباً</w:t>
            </w:r>
          </w:p>
        </w:tc>
        <w:tc>
          <w:tcPr>
            <w:tcW w:type="dxa" w:w="2026"/>
            <w:shd w:val="clear" w:color="auto" w:fill="F2F2F2"/>
          </w:tcPr>
          <w:p>
            <w:pPr>
              <w:bidi/>
              <w:jc w:val="left"/>
            </w:pPr>
            <w:r>
              <w:rPr>
                <w:b w:val="0"/>
                <w:i w:val="0"/>
                <w:color w:val="0E0E0E"/>
                <w:sz w:val="20"/>
                <w:rtl/>
                <w:lang w:bidi="ar-SA"/>
              </w:rPr>
              <w:t>أكتوبر ٢٠٢٦</w:t>
            </w:r>
          </w:p>
        </w:tc>
      </w:tr>
    </w:tbl>
    <w:p>
      <w:pPr>
        <w:bidi/>
        <w:jc w:val="left"/>
      </w:pPr>
    </w:p>
    <w:p>
      <w:pPr>
        <w:spacing w:before="120" w:after="120"/>
        <w:pBdr>
          <w:bottom w:val="single" w:sz="6" w:space="1" w:color="C8A24C"/>
        </w:pBdr>
        <w:bidi/>
        <w:jc w:val="left"/>
      </w:pPr>
    </w:p>
    <w:p>
      <w:pPr>
        <w:spacing w:before="160" w:after="40"/>
        <w:bidi/>
        <w:jc w:val="left"/>
      </w:pPr>
      <w:r>
        <w:rPr>
          <w:b/>
          <w:i w:val="0"/>
          <w:color w:val="C8A24C"/>
          <w:sz w:val="24"/>
          <w:rtl/>
          <w:lang w:bidi="ar-SA"/>
        </w:rPr>
        <w:t>للتواصل</w:t>
      </w:r>
    </w:p>
    <w:p>
      <w:pPr>
        <w:spacing w:after="80"/>
        <w:bidi/>
        <w:jc w:val="left"/>
      </w:pPr>
      <w:r>
        <w:rPr>
          <w:b/>
          <w:i w:val="0"/>
          <w:color w:val="C8A24C"/>
          <w:sz w:val="22"/>
          <w:rtl/>
          <w:lang w:bidi="ar-SA"/>
        </w:rPr>
        <w:t>محمود جاداللا — المدير التنفيذي، MY4 Education</w:t>
      </w:r>
    </w:p>
    <w:p>
      <w:pPr>
        <w:spacing w:after="80"/>
        <w:bidi/>
        <w:jc w:val="left"/>
      </w:pPr>
      <w:r>
        <w:rPr>
          <w:b w:val="0"/>
          <w:i w:val="0"/>
          <w:color w:val="0E0E0E"/>
          <w:sz w:val="22"/>
          <w:rtl/>
          <w:lang w:bidi="ar-SA"/>
        </w:rPr>
        <w:t>gadalla111@gmail.com</w:t>
      </w:r>
    </w:p>
    <w:p>
      <w:pPr>
        <w:spacing w:after="80"/>
        <w:bidi/>
        <w:jc w:val="left"/>
      </w:pPr>
      <w:r>
        <w:rPr>
          <w:b/>
          <w:i/>
          <w:color w:val="C8A24C"/>
          <w:sz w:val="22"/>
          <w:rtl/>
          <w:lang w:bidi="ar-SA"/>
        </w:rPr>
        <w:t>نتطلع إلى شرف تعاونكم.</w:t>
      </w:r>
    </w:p>
    <w:p>
      <w:pPr>
        <w:spacing w:after="80"/>
        <w:bidi/>
        <w:jc w:val="left"/>
      </w:pPr>
      <w:r>
        <w:rPr>
          <w:b w:val="0"/>
          <w:i/>
          <w:color w:val="888888"/>
          <w:sz w:val="18"/>
          <w:rtl/>
          <w:lang w:bidi="ar-SA"/>
        </w:rPr>
        <w:t>جميع الأرقام مستندة إلى مصادر رسمية معتمدة. الوثائق الداعمة متاحة بطلب رسمي من الوزارة.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