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left"/>
      </w:pPr>
      <w:r>
        <w:rPr>
          <w:b/>
          <w:color w:val="C8A24C"/>
          <w:sz w:val="56"/>
          <w:rtl/>
          <w:lang w:bidi="ar-SA"/>
        </w:rPr>
        <w:t>MY4 Education</w:t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مقترح شراكة رسمية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وزارة التضامن الاجتماعي — جمهورية مصر العربية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تأهيل الشباب وتمكينهم اقتصادياً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من قاعة الدارس إلى سوق العمل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تاريخ الإصدار: يونيو ٢٠٢٦  |  إعداد: MY4 Education (س.م.م رقم 157843)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ملخص تنفيذي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الأزمة واضحة — الحل موجود — الطلب محدد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تطلب MY4 Education — شركة مصرية مسجلة (س.م.م رقم 157843) — شراكةً رسمية مع وزارة التضامن الاجتماعي لتشغيل برنامجها المُثبَت في تأهيل الشباب للتوظيف.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المطلوب: اتفاقية شراكة + إتاحة 3 مراكز تدريبية + إدراج ضمن برنامج ستارت 2026. التكلفة على الوزارة: 3.6 مليون جنيه للمرحلة التجريبية (300 متدرب / 10 أشهر). العائد المتوقع: 255 متدرباً موظفاً خلال 90 يوماً من إتمام البرنامج.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4000"/>
        <w:gridCol w:w="1500"/>
        <w:gridCol w:w="3526"/>
      </w:tblGrid>
      <w:tblGrid>
        <w:gridCol w:w="3120"/>
        <w:gridCol w:w="3120"/>
        <w:gridCol w:w="3120"/>
      </w:tblGrid>
      <w:tr>
        <w:tc>
          <w:tcPr>
            <w:tcW w:type="dxa" w:w="8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المؤشر</w:t>
            </w:r>
          </w:p>
        </w:tc>
        <w:tc>
          <w:tcPr>
            <w:tcW w:type="dxa" w:w="3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القيمة</w:t>
            </w:r>
          </w:p>
        </w:tc>
        <w:tc>
          <w:tcPr>
            <w:tcW w:type="dxa" w:w="7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المصدر</w:t>
            </w:r>
          </w:p>
        </w:tc>
      </w:tr>
      <w:tr>
        <w:tc>
          <w:tcPr>
            <w:tcW w:type="dxa" w:w="8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معدل بطالة الشباب — مصر 2025</w:t>
            </w:r>
          </w:p>
        </w:tc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13.2%</w:t>
            </w:r>
          </w:p>
        </w:tc>
        <w:tc>
          <w:tcPr>
            <w:tcW w:type="dxa" w:w="7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CAPMAS: نشرة سوق العمل Q1 2025</w:t>
            </w:r>
          </w:p>
        </w:tc>
      </w:tr>
      <w:tr>
        <w:tc>
          <w:tcPr>
            <w:tcW w:type="dxa" w:w="8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بطالة الفئة 20–24 سنة</w:t>
            </w:r>
          </w:p>
        </w:tc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16.9%</w:t>
            </w:r>
          </w:p>
        </w:tc>
        <w:tc>
          <w:tcPr>
            <w:tcW w:type="dxa" w:w="7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CAPMAS: نشرة سوق العمل Q1 2025</w:t>
            </w:r>
          </w:p>
        </w:tc>
      </w:tr>
      <w:tr>
        <w:tc>
          <w:tcPr>
            <w:tcW w:type="dxa" w:w="8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بطالة الشابات — الأعلى منذ 2015</w:t>
            </w:r>
          </w:p>
        </w:tc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33.8%</w:t>
            </w:r>
          </w:p>
        </w:tc>
        <w:tc>
          <w:tcPr>
            <w:tcW w:type="dxa" w:w="7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CAPMAS: نشرة سوق العمل Q1 2025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01 · الإشكالية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الشهادة وحدها لا تصنع فرصة عمل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الأرقام تحدد الأزمة بدقة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4500"/>
        <w:gridCol w:w="1200"/>
        <w:gridCol w:w="3326"/>
      </w:tblGrid>
      <w:tblGrid>
        <w:gridCol w:w="3120"/>
        <w:gridCol w:w="3120"/>
        <w:gridCol w:w="3120"/>
      </w:tblGrid>
      <w:tr>
        <w:tc>
          <w:tcPr>
            <w:tcW w:type="dxa" w:w="9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الدلالة</w:t>
            </w:r>
          </w:p>
        </w:tc>
        <w:tc>
          <w:tcPr>
            <w:tcW w:type="dxa" w:w="2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الرقم</w:t>
            </w:r>
          </w:p>
        </w:tc>
        <w:tc>
          <w:tcPr>
            <w:tcW w:type="dxa" w:w="6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المصدر</w:t>
            </w:r>
          </w:p>
        </w:tc>
      </w:tr>
      <w:tr>
        <w:tc>
          <w:tcPr>
            <w:tcW w:type="dxa" w:w="9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شاب مصري عاطل عن العمل رغم المؤهلات</w:t>
            </w:r>
          </w:p>
        </w:tc>
        <w:tc>
          <w:tcPr>
            <w:tcW w:type="dxa" w:w="2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1.2M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 2025</w:t>
            </w:r>
          </w:p>
        </w:tc>
      </w:tr>
      <w:tr>
        <w:tc>
          <w:tcPr>
            <w:tcW w:type="dxa" w:w="9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بطالة خريجي الجامعات تحديداً</w:t>
            </w:r>
          </w:p>
        </w:tc>
        <w:tc>
          <w:tcPr>
            <w:tcW w:type="dxa" w:w="2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16.8%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 2025</w:t>
            </w:r>
          </w:p>
        </w:tc>
      </w:tr>
      <w:tr>
        <w:tc>
          <w:tcPr>
            <w:tcW w:type="dxa" w:w="9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 أصحاب العمل: الخريجون غير مؤهلين عملياً</w:t>
            </w:r>
          </w:p>
        </w:tc>
        <w:tc>
          <w:tcPr>
            <w:tcW w:type="dxa" w:w="2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72%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 2025</w:t>
            </w:r>
          </w:p>
        </w:tc>
      </w:tr>
      <w:tr>
        <w:tc>
          <w:tcPr>
            <w:tcW w:type="dxa" w:w="9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وحدة جامعية تضامن اجتماعي تخدم 250,000 طالب</w:t>
            </w:r>
          </w:p>
        </w:tc>
        <w:tc>
          <w:tcPr>
            <w:tcW w:type="dxa" w:w="2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31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وزارة التضامن 2026</w:t>
            </w:r>
          </w:p>
        </w:tc>
      </w:tr>
      <w:tr>
        <w:tc>
          <w:tcPr>
            <w:tcW w:type="dxa" w:w="9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 أسباب الفشل المهني: نقص المهارات لا نقص الفرص</w:t>
            </w:r>
          </w:p>
        </w:tc>
        <w:tc>
          <w:tcPr>
            <w:tcW w:type="dxa" w:w="2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70%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ILO 2024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02 · الحل والمنهج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نموذج مُثبَت ومنهج معتمد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كيف يعمل النموذج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200"/>
        <w:gridCol w:w="6826"/>
      </w:tblGrid>
      <w:tblGrid>
        <w:gridCol w:w="4680"/>
        <w:gridCol w:w="4680"/>
      </w:tblGrid>
      <w:tr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المرحلة</w:t>
            </w:r>
          </w:p>
        </w:tc>
        <w:tc>
          <w:tcPr>
            <w:tcW w:type="dxa" w:w="13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الوصف</w:t>
            </w:r>
          </w:p>
        </w:tc>
      </w:tr>
      <w:tr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01 — التشخيص</w:t>
            </w:r>
          </w:p>
        </w:tc>
        <w:tc>
          <w:tcPr>
            <w:tcW w:type="dxa" w:w="13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تحليل احتياجات المنطقة وأصحاب العمل — مسار مخصص لكل دفعة قبل بدء التدريب</w:t>
            </w:r>
          </w:p>
        </w:tc>
      </w:tr>
      <w:tr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02 — التدريب</w:t>
            </w:r>
          </w:p>
        </w:tc>
        <w:tc>
          <w:tcPr>
            <w:tcW w:type="dxa" w:w="13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8 أسابيع مكثفة: مهارات رقمية + ناعمة + محاكاة بيئة العمل الفعلية</w:t>
            </w:r>
          </w:p>
        </w:tc>
      </w:tr>
      <w:tr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03 — التوظيف</w:t>
            </w:r>
          </w:p>
        </w:tc>
        <w:tc>
          <w:tcPr>
            <w:tcW w:type="dxa" w:w="13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ربط مضمون بأصحاب العمل الشركاء + متابعة موثقة 90 يوماً بعد الالتحاق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الدمج بين التدريب النظري والتطبيق الفعلي يرفع معدل التوظيف 52%+ مقارنةً بالتدريب التقليدي (IFC: Workforce Development Report, 2024, p.47). النموذج مُطبَّق بالفعل مع AASTMT — 200+ متدرب — تقرير التقييم متاح للمراجعة.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المنهج الدراسي — 8 أسابيع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800"/>
        <w:gridCol w:w="2200"/>
        <w:gridCol w:w="5026"/>
      </w:tblGrid>
      <w:tblGrid>
        <w:gridCol w:w="3120"/>
        <w:gridCol w:w="3120"/>
        <w:gridCol w:w="3120"/>
      </w:tblGrid>
      <w:tr>
        <w:tc>
          <w:tcPr>
            <w:tcW w:type="dxa" w:w="3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الفترة</w:t>
            </w:r>
          </w:p>
        </w:tc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المحور</w:t>
            </w:r>
          </w:p>
        </w:tc>
        <w:tc>
          <w:tcPr>
            <w:tcW w:type="dxa" w:w="10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المحتوى</w:t>
            </w:r>
          </w:p>
        </w:tc>
      </w:tr>
      <w:tr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1–2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المهارات الرقمية الأساسية</w:t>
            </w:r>
          </w:p>
        </w:tc>
        <w:tc>
          <w:tcPr>
            <w:tcW w:type="dxa" w:w="10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Microsoft 365 · Google Workspace · Trello/Notion · البريد المهني</w:t>
            </w:r>
          </w:p>
        </w:tc>
      </w:tr>
      <w:tr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3–4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المهارات الناعمة</w:t>
            </w:r>
          </w:p>
        </w:tc>
        <w:tc>
          <w:tcPr>
            <w:tcW w:type="dxa" w:w="10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العروض التقديمية · إدارة الوقت · العمل الجماعي · التفاوض</w:t>
            </w:r>
          </w:p>
        </w:tc>
      </w:tr>
      <w:tr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5–6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المسار التخصصي (3 مسارات)</w:t>
            </w:r>
          </w:p>
        </w:tc>
        <w:tc>
          <w:tcPr>
            <w:tcW w:type="dxa" w:w="10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إدارة الأعمال / التسويق الرقمي / دعم تقنية المعلومات</w:t>
            </w:r>
          </w:p>
        </w:tc>
      </w:tr>
      <w:tr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7–8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التوظيف والتقييم</w:t>
            </w:r>
          </w:p>
        </w:tc>
        <w:tc>
          <w:tcPr>
            <w:tcW w:type="dxa" w:w="10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إعداد السيرة الذاتية · محاكاة المقابلات · ربط بأصحاب العمل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المسار النسائي المخصص: تدريب عن بُعد جزئياً + مدربات معتمدات + جداول مرنة — يستهدف الشابات (بطالة 33.8%)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الشهادة: اجتياز اختبار ECDL-مصر عند نهاية البرنامج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03 · إثبات النموذج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الأكاديمية العربية — نتائج موثقة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التجربة الريادية (2024–2025)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شراكة رسمية مع الأكاديمية العربية للعلوم والتكنولوجيا والنقل البحري (AASTMT). المقاييس مستخرجة من تقرير AASTMT لمركز تطوير الكفاءات، مارس 2025.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85% من المتدربين وجدوا وظيفة خلال 90 يوماً من إتمام البرنامج (170 من أصل 200)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200+ متدرب في 3 دفعات متتالية — Q2 2024 حتى Q1 2025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4.8 / 5.0 متوسط تقييم رضا المتدربين (استبيان مستقل، n=196)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16 صاحب عمل من القطاعين الخاص والحكومي وقّعوا خطابات توظيف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أصحاب العمل الشركاء — الدفعات الثلاث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800"/>
        <w:gridCol w:w="6226"/>
      </w:tblGrid>
      <w:tblGrid>
        <w:gridCol w:w="4680"/>
        <w:gridCol w:w="4680"/>
      </w:tblGrid>
      <w:tr>
        <w:tc>
          <w:tcPr>
            <w:tcW w:type="dxa" w:w="5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القطاع</w:t>
            </w:r>
          </w:p>
        </w:tc>
        <w:tc>
          <w:tcPr>
            <w:tcW w:type="dxa" w:w="124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الشركاء</w:t>
            </w:r>
          </w:p>
        </w:tc>
      </w:tr>
      <w:tr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تقنية المعلومات والاتصالات</w:t>
            </w:r>
          </w:p>
        </w:tc>
        <w:tc>
          <w:tcPr>
            <w:tcW w:type="dxa" w:w="12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Vodafone Egypt · Raya Holding · ITWorx · Valeo Egypt</w:t>
            </w:r>
          </w:p>
        </w:tc>
      </w:tr>
      <w:tr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الأعمال والإدارة</w:t>
            </w:r>
          </w:p>
        </w:tc>
        <w:tc>
          <w:tcPr>
            <w:tcW w:type="dxa" w:w="12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Maersk Egypt · DHL Egypt · Americana Group · EGIC</w:t>
            </w:r>
          </w:p>
        </w:tc>
      </w:tr>
      <w:tr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التسويق والإعلام الرقمي</w:t>
            </w:r>
          </w:p>
        </w:tc>
        <w:tc>
          <w:tcPr>
            <w:tcW w:type="dxa" w:w="12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JWT Egypt · Procter &amp; Gamble EGY · Unilever Egypt · Publicis</w:t>
            </w:r>
          </w:p>
        </w:tc>
      </w:tr>
      <w:tr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القطاع الحكومي والمنظمات</w:t>
            </w:r>
          </w:p>
        </w:tc>
        <w:tc>
          <w:tcPr>
            <w:tcW w:type="dxa" w:w="12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ITIDA · MCIT · Injaz Egypt · Nahdet El Mahrousa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خطابات النوايا متاحة للمراجعة · يمكن تزويد الوزارة بنسخ رسمية فور طلبها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04 · الخطة والميزانية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مسار توسع متدرج بأرقام دقيقة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مسار التوسع المتدرج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200"/>
        <w:gridCol w:w="1800"/>
        <w:gridCol w:w="1500"/>
        <w:gridCol w:w="3526"/>
      </w:tblGrid>
      <w:tblGrid>
        <w:gridCol w:w="2340"/>
        <w:gridCol w:w="2340"/>
        <w:gridCol w:w="2340"/>
        <w:gridCol w:w="2340"/>
      </w:tblGrid>
      <w:tr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المرحلة</w:t>
            </w:r>
          </w:p>
        </w:tc>
        <w:tc>
          <w:tcPr>
            <w:tcW w:type="dxa" w:w="3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الفترة</w:t>
            </w:r>
          </w:p>
        </w:tc>
        <w:tc>
          <w:tcPr>
            <w:tcW w:type="dxa" w:w="3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العدد</w:t>
            </w:r>
          </w:p>
        </w:tc>
        <w:tc>
          <w:tcPr>
            <w:tcW w:type="dxa" w:w="7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أبرز الخطوات</w:t>
            </w:r>
          </w:p>
        </w:tc>
      </w:tr>
      <w:tr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01 — المرحلة التجريبية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يناير–أكتوبر ٢٠٢٦</w:t>
            </w:r>
          </w:p>
        </w:tc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300 متدرب</w:t>
            </w:r>
          </w:p>
        </w:tc>
        <w:tc>
          <w:tcPr>
            <w:tcW w:type="dxa" w:w="7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القاهرة · الإسكندرية · الجيزة | 12 مدرباً | تقرير تقييم مستقل</w:t>
            </w:r>
          </w:p>
        </w:tc>
      </w:tr>
      <w:tr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02 — مرحلة التوسع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يناير–ديسمبر ٢٠٢٧</w:t>
            </w:r>
          </w:p>
        </w:tc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1,500 متدرب</w:t>
            </w:r>
          </w:p>
        </w:tc>
        <w:tc>
          <w:tcPr>
            <w:tcW w:type="dxa" w:w="7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10 مراكز في 6 محافظات | المسار النسائي | ربط ببرنامج ستارت 2026</w:t>
            </w:r>
          </w:p>
        </w:tc>
      </w:tr>
      <w:tr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03 — الانطلاق الوطني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٢٠٢٨–٢٠٢٩</w:t>
            </w:r>
          </w:p>
        </w:tc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5,000+ / سنة</w:t>
            </w:r>
          </w:p>
        </w:tc>
        <w:tc>
          <w:tcPr>
            <w:tcW w:type="dxa" w:w="7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27 محافظة — 31 وحدة جامعية | شبكة 100+ صاحب عمل | تمويل ذاتي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الميزانية التفصيلية — المرحلة الأولى (300 متدرب · 3 مراكز · 10 أشهر)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5000"/>
        <w:gridCol w:w="2300"/>
        <w:gridCol w:w="1726"/>
      </w:tblGrid>
      <w:tblGrid>
        <w:gridCol w:w="3120"/>
        <w:gridCol w:w="3120"/>
        <w:gridCol w:w="3120"/>
      </w:tblGrid>
      <w:tr>
        <w:tc>
          <w:tcPr>
            <w:tcW w:type="dxa" w:w="10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البند</w:t>
            </w:r>
          </w:p>
        </w:tc>
        <w:tc>
          <w:tcPr>
            <w:tcW w:type="dxa" w:w="4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التكلفة (جنيه)</w:t>
            </w:r>
          </w:p>
        </w:tc>
        <w:tc>
          <w:tcPr>
            <w:tcW w:type="dxa" w:w="34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النسبة</w:t>
            </w:r>
          </w:p>
        </w:tc>
      </w:tr>
      <w:tr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تطوير المناهج وإعداد المواد التدريبية</w:t>
            </w:r>
          </w:p>
        </w:tc>
        <w:tc>
          <w:tcPr>
            <w:tcW w:type="dxa" w:w="4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450,000</w:t>
            </w:r>
          </w:p>
        </w:tc>
        <w:tc>
          <w:tcPr>
            <w:tcW w:type="dxa" w:w="3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12.5%</w:t>
            </w:r>
          </w:p>
        </w:tc>
      </w:tr>
      <w:tr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رواتب المدربين (12 مدرباً × 10 أشهر)</w:t>
            </w:r>
          </w:p>
        </w:tc>
        <w:tc>
          <w:tcPr>
            <w:tcW w:type="dxa" w:w="4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1,200,000</w:t>
            </w:r>
          </w:p>
        </w:tc>
        <w:tc>
          <w:tcPr>
            <w:tcW w:type="dxa" w:w="3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33.3%</w:t>
            </w:r>
          </w:p>
        </w:tc>
      </w:tr>
      <w:tr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إيجار وتجهيز المراكز (3 مراكز × 10 أشهر)</w:t>
            </w:r>
          </w:p>
        </w:tc>
        <w:tc>
          <w:tcPr>
            <w:tcW w:type="dxa" w:w="4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900,000</w:t>
            </w:r>
          </w:p>
        </w:tc>
        <w:tc>
          <w:tcPr>
            <w:tcW w:type="dxa" w:w="3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25.0%</w:t>
            </w:r>
          </w:p>
        </w:tc>
      </w:tr>
      <w:tr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التقييم المستقل وإعداد التقارير</w:t>
            </w:r>
          </w:p>
        </w:tc>
        <w:tc>
          <w:tcPr>
            <w:tcW w:type="dxa" w:w="4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250,000</w:t>
            </w:r>
          </w:p>
        </w:tc>
        <w:tc>
          <w:tcPr>
            <w:tcW w:type="dxa" w:w="3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6.9%</w:t>
            </w:r>
          </w:p>
        </w:tc>
      </w:tr>
      <w:tr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مستلزمات ودعم المتدربين (300 × 500 جنيه)</w:t>
            </w:r>
          </w:p>
        </w:tc>
        <w:tc>
          <w:tcPr>
            <w:tcW w:type="dxa" w:w="4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150,000</w:t>
            </w:r>
          </w:p>
        </w:tc>
        <w:tc>
          <w:tcPr>
            <w:tcW w:type="dxa" w:w="3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4.2%</w:t>
            </w:r>
          </w:p>
        </w:tc>
      </w:tr>
      <w:tr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إدارة المشروع والمصاريف التشغيلية (18%)</w:t>
            </w:r>
          </w:p>
        </w:tc>
        <w:tc>
          <w:tcPr>
            <w:tcW w:type="dxa" w:w="4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650,000</w:t>
            </w:r>
          </w:p>
        </w:tc>
        <w:tc>
          <w:tcPr>
            <w:tcW w:type="dxa" w:w="3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18.1%</w:t>
            </w:r>
          </w:p>
        </w:tc>
      </w:tr>
      <w:tr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الإجمالي</w:t>
            </w:r>
          </w:p>
        </w:tc>
        <w:tc>
          <w:tcPr>
            <w:tcW w:type="dxa" w:w="4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3,600,000</w:t>
            </w:r>
          </w:p>
        </w:tc>
        <w:tc>
          <w:tcPr>
            <w:tcW w:type="dxa" w:w="3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100%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التكلفة لكل متدرب: 12,000 جنيه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العائد الاقتصادي: 255 متدرباً موظفاً × راتب متوسط 4,500 جنيه/شهر = 1.14M جنيه دخل شهري مُضاف للاقتصاد</w:t>
      </w:r>
    </w:p>
    <w:p>
      <w:pPr>
        <w:spacing w:after="80"/>
        <w:bidi/>
        <w:jc w:val="left"/>
      </w:pPr>
      <w:r>
        <w:rPr>
          <w:b/>
          <w:i w:val="0"/>
          <w:color w:val="A4232A"/>
          <w:sz w:val="22"/>
          <w:rtl/>
          <w:lang w:bidi="ar-SA"/>
        </w:rPr>
        <w:t>بند الاسترداد: إذا نسبة التوظيف &lt; 70% — يُعاد 30% من التمويل الحكومي خلال 60 يوماً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05 · المؤشرات والمتابعة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التزامات قابلة للقياس + بند استرداد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التزاماتنا القابلة للقياس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500"/>
        <w:gridCol w:w="1800"/>
        <w:gridCol w:w="3726"/>
      </w:tblGrid>
      <w:tblGrid>
        <w:gridCol w:w="3120"/>
        <w:gridCol w:w="3120"/>
        <w:gridCol w:w="3120"/>
      </w:tblGrid>
      <w:tr>
        <w:tc>
          <w:tcPr>
            <w:tcW w:type="dxa" w:w="7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المؤشر</w:t>
            </w:r>
          </w:p>
        </w:tc>
        <w:tc>
          <w:tcPr>
            <w:tcW w:type="dxa" w:w="3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الهدف</w:t>
            </w:r>
          </w:p>
        </w:tc>
        <w:tc>
          <w:tcPr>
            <w:tcW w:type="dxa" w:w="74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التوقيت</w:t>
            </w:r>
          </w:p>
        </w:tc>
      </w:tr>
      <w:tr>
        <w:tc>
          <w:tcPr>
            <w:tcW w:type="dxa" w:w="7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نسبة التوظيف الفعال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85%+</w:t>
            </w:r>
          </w:p>
        </w:tc>
        <w:tc>
          <w:tcPr>
            <w:tcW w:type="dxa" w:w="7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خلال 90 يوماً من إتمام التدريب</w:t>
            </w:r>
          </w:p>
        </w:tc>
      </w:tr>
      <w:tr>
        <w:tc>
          <w:tcPr>
            <w:tcW w:type="dxa" w:w="7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رضا المتدربين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4.8/5</w:t>
            </w:r>
          </w:p>
        </w:tc>
        <w:tc>
          <w:tcPr>
            <w:tcW w:type="dxa" w:w="7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تقييم مستقل بعد إتمام البرنامج</w:t>
            </w:r>
          </w:p>
        </w:tc>
      </w:tr>
      <w:tr>
        <w:tc>
          <w:tcPr>
            <w:tcW w:type="dxa" w:w="7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رضا أصحاب العمل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96%+</w:t>
            </w:r>
          </w:p>
        </w:tc>
        <w:tc>
          <w:tcPr>
            <w:tcW w:type="dxa" w:w="7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قياس بعد 6 أشهر من التوظيف</w:t>
            </w:r>
          </w:p>
        </w:tc>
      </w:tr>
      <w:tr>
        <w:tc>
          <w:tcPr>
            <w:tcW w:type="dxa" w:w="7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تحسن معدل التوظيف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+52%</w:t>
            </w:r>
          </w:p>
        </w:tc>
        <w:tc>
          <w:tcPr>
            <w:tcW w:type="dxa" w:w="7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فوق المتوسط مقارنةً بالتدريب التقليدي</w:t>
            </w:r>
          </w:p>
        </w:tc>
      </w:tr>
    </w:tbl>
    <w:p>
      <w:pPr>
        <w:bidi/>
        <w:jc w:val="left"/>
      </w:pP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لوحة بيانات حية للوزارة تُحدَّث شهرياً (Google Looker Studio)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تقارير ربع سنوية مستقلة من جهة تقييم خارجية معتمدة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بند استرداد رسمي: إذا نسبة التوظيف &lt; 70% → يُعاد 30% من التمويل خلال 60 يوماً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شراكة بحثية مع الجامعات لنشر نتائج النموذج دولياً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إطار المتابعة والتقييم — M&amp;E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500"/>
        <w:gridCol w:w="2800"/>
        <w:gridCol w:w="1800"/>
        <w:gridCol w:w="2926"/>
      </w:tblGrid>
      <w:tblGrid>
        <w:gridCol w:w="2340"/>
        <w:gridCol w:w="2340"/>
        <w:gridCol w:w="2340"/>
        <w:gridCol w:w="2340"/>
      </w:tblGrid>
      <w:tr>
        <w:tc>
          <w:tcPr>
            <w:tcW w:type="dxa" w:w="3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المستوى</w:t>
            </w:r>
          </w:p>
        </w:tc>
        <w:tc>
          <w:tcPr>
            <w:tcW w:type="dxa" w:w="5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المؤشر</w:t>
            </w:r>
          </w:p>
        </w:tc>
        <w:tc>
          <w:tcPr>
            <w:tcW w:type="dxa" w:w="3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الهدف</w:t>
            </w:r>
          </w:p>
        </w:tc>
        <w:tc>
          <w:tcPr>
            <w:tcW w:type="dxa" w:w="58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آلية القياس</w:t>
            </w:r>
          </w:p>
        </w:tc>
      </w:tr>
      <w:tr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عدد المتدربين الملتحقين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300 / المرحلة 1</w:t>
            </w:r>
          </w:p>
        </w:tc>
        <w:tc>
          <w:tcPr>
            <w:tcW w:type="dxa" w:w="58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سجلات التسجيل — شهرياً</w:t>
            </w:r>
          </w:p>
        </w:tc>
      </w:tr>
      <w:tr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معدل إتمام البرنامج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90%</w:t>
            </w:r>
          </w:p>
        </w:tc>
        <w:tc>
          <w:tcPr>
            <w:tcW w:type="dxa" w:w="58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نظام الحضور — كل دفعة</w:t>
            </w:r>
          </w:p>
        </w:tc>
      </w:tr>
      <w:tr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اجتياز تقييم ECDL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80%</w:t>
            </w:r>
          </w:p>
        </w:tc>
        <w:tc>
          <w:tcPr>
            <w:tcW w:type="dxa" w:w="58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شهادات رسمية — كل دفعة</w:t>
            </w:r>
          </w:p>
        </w:tc>
      </w:tr>
      <w:tr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توظيف خلال 90 يوماً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85%</w:t>
            </w:r>
          </w:p>
        </w:tc>
        <w:tc>
          <w:tcPr>
            <w:tcW w:type="dxa" w:w="58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متابعة فردية + خطاب توظيف</w:t>
            </w:r>
          </w:p>
        </w:tc>
      </w:tr>
      <w:tr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رضا أصحاب العمل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96%</w:t>
            </w:r>
          </w:p>
        </w:tc>
        <w:tc>
          <w:tcPr>
            <w:tcW w:type="dxa" w:w="58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استبيان 6 أشهر بعد التوظيف</w:t>
            </w:r>
          </w:p>
        </w:tc>
      </w:tr>
      <w:tr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الاحتفاظ بالوظيفة 6 أشهر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75%</w:t>
            </w:r>
          </w:p>
        </w:tc>
        <w:tc>
          <w:tcPr>
            <w:tcW w:type="dxa" w:w="58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اتصال متابعة دوري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تحليل المخاطر وخطة التخفيف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1400"/>
        <w:gridCol w:w="51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الخطر</w:t>
            </w:r>
          </w:p>
        </w:tc>
        <w:tc>
          <w:tcPr>
            <w:tcW w:type="dxa" w:w="28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الاحتمالية</w:t>
            </w:r>
          </w:p>
        </w:tc>
        <w:tc>
          <w:tcPr>
            <w:tcW w:type="dxa" w:w="102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خطة التخفيف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ضعف الإقبال في بعض المحافظات</w:t>
            </w:r>
          </w:p>
        </w:tc>
        <w:tc>
          <w:tcPr>
            <w:tcW w:type="dxa" w:w="28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عالية</w:t>
            </w:r>
          </w:p>
        </w:tc>
        <w:tc>
          <w:tcPr>
            <w:tcW w:type="dxa" w:w="102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شراكة مع الوحدات الجامعية + حوافز (بدل نقل 200 جنيه/جلسة)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تأخر إتاحة المراكز التدريبية</w:t>
            </w:r>
          </w:p>
        </w:tc>
        <w:tc>
          <w:tcPr>
            <w:tcW w:type="dxa" w:w="28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متوسطة</w:t>
            </w:r>
          </w:p>
        </w:tc>
        <w:tc>
          <w:tcPr>
            <w:tcW w:type="dxa" w:w="102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عقود إيجار مؤسسات خاصة جاهزة كـ backup — تم تحديدها مسبقاً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تذبذب التزام أصحاب العمل</w:t>
            </w:r>
          </w:p>
        </w:tc>
        <w:tc>
          <w:tcPr>
            <w:tcW w:type="dxa" w:w="28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متوسطة</w:t>
            </w:r>
          </w:p>
        </w:tc>
        <w:tc>
          <w:tcPr>
            <w:tcW w:type="dxa" w:w="102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بروتوكولات توظيف موقّعة + قائمة انتظار 30+ شركة بديلة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تغيير السياسات الحكومية</w:t>
            </w:r>
          </w:p>
        </w:tc>
        <w:tc>
          <w:tcPr>
            <w:tcW w:type="dxa" w:w="28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منخفضة</w:t>
            </w:r>
          </w:p>
        </w:tc>
        <w:tc>
          <w:tcPr>
            <w:tcW w:type="dxa" w:w="102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هيكل قانوني مرن + بنود مراجعة سنوية في الاتفاقية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نقص المدربين المؤهلين</w:t>
            </w:r>
          </w:p>
        </w:tc>
        <w:tc>
          <w:tcPr>
            <w:tcW w:type="dxa" w:w="28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منخفضة</w:t>
            </w:r>
          </w:p>
        </w:tc>
        <w:tc>
          <w:tcPr>
            <w:tcW w:type="dxa" w:w="102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قاعدة بيانات 45 مدرباً معتمداً — مبنية خلال AASTMT Phase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06 · MY4 Education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الكيان القانوني · الفريق · التميز التنافسي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شركة MY4 Education للتدريب والتطوير المهني (س.م.م رقم 157843) — مسجلة في مصر، متخصصة في تأهيل الشباب لسوق العمل منذ 2022.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محمود جاداللا — مؤسس ومدير تنفيذي. خبرة 8+ سنوات في تصميم برامج التعليم والتدريب المهني. شارك في تصميم برامج IFC/World Bank و UNICEF Egypt.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الفريق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2200"/>
        <w:gridCol w:w="43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المنصب</w:t>
            </w:r>
          </w:p>
        </w:tc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الاسم</w:t>
            </w:r>
          </w:p>
        </w:tc>
        <w:tc>
          <w:tcPr>
            <w:tcW w:type="dxa" w:w="8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الدور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المدير التنفيذي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محمود جاداللا</w:t>
            </w:r>
          </w:p>
        </w:tc>
        <w:tc>
          <w:tcPr>
            <w:tcW w:type="dxa" w:w="8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تصميم البرامج + الشراكات الاستراتيجية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مدير التدريب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د. أميرة حسن</w:t>
            </w:r>
          </w:p>
        </w:tc>
        <w:tc>
          <w:tcPr>
            <w:tcW w:type="dxa" w:w="8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مناهج + جودة التدريب — PhD تربية جامعة القاهرة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مدير التوظيف وشركاء الأعمال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أحمد الشافعي</w:t>
            </w:r>
          </w:p>
        </w:tc>
        <w:tc>
          <w:tcPr>
            <w:tcW w:type="dxa" w:w="8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إدارة شبكة أصحاب العمل — خبرة 10 سنوات HR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مدير المتابعة والتقييم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سارة مصطفى</w:t>
            </w:r>
          </w:p>
        </w:tc>
        <w:tc>
          <w:tcPr>
            <w:tcW w:type="dxa" w:w="8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M&amp;E — شهادة دولية PMD Pro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لماذا MY4؟ — التميز التنافسي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3200"/>
        <w:gridCol w:w="33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المعيار</w:t>
            </w:r>
          </w:p>
        </w:tc>
        <w:tc>
          <w:tcPr>
            <w:tcW w:type="dxa" w:w="6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MY4 Education</w:t>
            </w:r>
          </w:p>
        </w:tc>
        <w:tc>
          <w:tcPr>
            <w:tcW w:type="dxa" w:w="6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المنافس النموذجي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نموذج التوظيف</w:t>
            </w:r>
          </w:p>
        </w:tc>
        <w:tc>
          <w:tcPr>
            <w:tcW w:type="dxa" w:w="6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ضمان 85%+ موثق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لا ضمان / أهداف غير رسمية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بند الاسترداد</w:t>
            </w:r>
          </w:p>
        </w:tc>
        <w:tc>
          <w:tcPr>
            <w:tcW w:type="dxa" w:w="6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نعم — 30% عند &lt;70%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لا يوجد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التتبع والبيانات</w:t>
            </w:r>
          </w:p>
        </w:tc>
        <w:tc>
          <w:tcPr>
            <w:tcW w:type="dxa" w:w="6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لوحة حية + تقرير مستقل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تقرير نهائي فقط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مسار المرأة</w:t>
            </w:r>
          </w:p>
        </w:tc>
        <w:tc>
          <w:tcPr>
            <w:tcW w:type="dxa" w:w="6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مخصص + مدربات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برنامج موحد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إثبات النموذج</w:t>
            </w:r>
          </w:p>
        </w:tc>
        <w:tc>
          <w:tcPr>
            <w:tcW w:type="dxa" w:w="6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200+ متدرب / AASTMT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بدون مرجعية محلية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الإطار القانوني والامتثال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الكيان: شركة مساهمة مسؤولية محدودة (س.م.م) — رقم 157843 — السجل التجاري المصري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الامتثال الضريبي: ملف ضريبي نشط لدى مصلحة الضرائب المصرية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التأمينات الاجتماعية: مسجل لدى الهيئة القومية للتأمين الاجتماعي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عقد التأمين المهني: مؤمَّن ضد مخاطر التدريب (وثيقة متاحة للمراجعة)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حماية البيانات: متوافق مع قانون حماية البيانات الشخصية رقم 151 لسنة 2020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07 · الطلب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ماذا نطلب من الوزارة بالتحديد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3500"/>
        <w:gridCol w:w="30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الطلب</w:t>
            </w:r>
          </w:p>
        </w:tc>
        <w:tc>
          <w:tcPr>
            <w:tcW w:type="dxa" w:w="7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التفاصيل</w:t>
            </w:r>
          </w:p>
        </w:tc>
        <w:tc>
          <w:tcPr>
            <w:tcW w:type="dxa" w:w="6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الأثر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١. اتفاقية شراكة رسمية</w:t>
            </w:r>
          </w:p>
        </w:tc>
        <w:tc>
          <w:tcPr>
            <w:tcW w:type="dxa" w:w="7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عقد شراكة موقّع لمدة 3 سنوات قابلة للتجديد</w:t>
            </w:r>
          </w:p>
        </w:tc>
        <w:tc>
          <w:tcPr>
            <w:tcW w:type="dxa" w:w="6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مصداقية + وصول لشبكة الوزارة (31 وحدة جامعية)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٢. إتاحة 3 مراكز تدريبية</w:t>
            </w:r>
          </w:p>
        </w:tc>
        <w:tc>
          <w:tcPr>
            <w:tcW w:type="dxa" w:w="7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القاهرة / الإسكندرية / الجيزة — المرحلة 1</w:t>
            </w:r>
          </w:p>
        </w:tc>
        <w:tc>
          <w:tcPr>
            <w:tcW w:type="dxa" w:w="6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تشغيل 300 متدرب في 10 أشهر دون تكلفة إيجار إضافية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٣. إدراج ضمن برنامج ستارت 2026</w:t>
            </w:r>
          </w:p>
        </w:tc>
        <w:tc>
          <w:tcPr>
            <w:tcW w:type="dxa" w:w="7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الإعلان الرسمي عبر قنوات الوزارة</w:t>
            </w:r>
          </w:p>
        </w:tc>
        <w:tc>
          <w:tcPr>
            <w:tcW w:type="dxa" w:w="6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وصول مباشر لـ 250,000+ شاب عبر الوحدات الجامعية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الخطوات التالية المقترحة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000"/>
        <w:gridCol w:w="5000"/>
        <w:gridCol w:w="2026"/>
      </w:tblGrid>
      <w:tblGrid>
        <w:gridCol w:w="3120"/>
        <w:gridCol w:w="3120"/>
        <w:gridCol w:w="3120"/>
      </w:tblGrid>
      <w:tr>
        <w:tc>
          <w:tcPr>
            <w:tcW w:type="dxa" w:w="4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الخطوة</w:t>
            </w:r>
          </w:p>
        </w:tc>
        <w:tc>
          <w:tcPr>
            <w:tcW w:type="dxa" w:w="10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الإجراء</w:t>
            </w:r>
          </w:p>
        </w:tc>
        <w:tc>
          <w:tcPr>
            <w:tcW w:type="dxa" w:w="4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الإطار الزمني</w:t>
            </w:r>
          </w:p>
        </w:tc>
      </w:tr>
      <w:tr>
        <w:tc>
          <w:tcPr>
            <w:tcW w:type="dxa" w:w="4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1. اجتماع تقديمي</w:t>
            </w:r>
          </w:p>
        </w:tc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العرض الكامل أمام لجنة الوزارة المختصة</w:t>
            </w:r>
          </w:p>
        </w:tc>
        <w:tc>
          <w:tcPr>
            <w:tcW w:type="dxa" w:w="4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أسبوعان</w:t>
            </w:r>
          </w:p>
        </w:tc>
      </w:tr>
      <w:tr>
        <w:tc>
          <w:tcPr>
            <w:tcW w:type="dxa" w:w="4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2. مراجعة الوثائق</w:t>
            </w:r>
          </w:p>
        </w:tc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تسليم ملف AASTMT + خطابات أصحاب العمل + السجل</w:t>
            </w:r>
          </w:p>
        </w:tc>
        <w:tc>
          <w:tcPr>
            <w:tcW w:type="dxa" w:w="4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4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3. تحديد المراكز</w:t>
            </w:r>
          </w:p>
        </w:tc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زيارة ميدانية مشتركة لتحديد 3 مراكز تدريبية</w:t>
            </w:r>
          </w:p>
        </w:tc>
        <w:tc>
          <w:tcPr>
            <w:tcW w:type="dxa" w:w="4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4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4. توقيع الاتفاقية</w:t>
            </w:r>
          </w:p>
        </w:tc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إتمام الإجراءات القانونية والتوقيع</w:t>
            </w:r>
          </w:p>
        </w:tc>
        <w:tc>
          <w:tcPr>
            <w:tcW w:type="dxa" w:w="4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شهر من المراجعة</w:t>
            </w:r>
          </w:p>
        </w:tc>
      </w:tr>
      <w:tr>
        <w:tc>
          <w:tcPr>
            <w:tcW w:type="dxa" w:w="4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5. انطلاق المرحلة 1</w:t>
            </w:r>
          </w:p>
        </w:tc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بدء التدريب الفعلي</w:t>
            </w:r>
          </w:p>
        </w:tc>
        <w:tc>
          <w:tcPr>
            <w:tcW w:type="dxa" w:w="4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يناير ٢٠٢٦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للتواصل والتفاصيل</w:t>
      </w: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محمود جاداللا — المدير التنفيذي، MY4 Education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gadalla111@gmail.com  |  www.my4education.com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جميع الأرقام والإحصاءات الواردة مستندة إلى مصادر رسمية معتمدة. تقارير التقييم والوثائق الداعمة متاحة بطلب رسمي من الوزارة.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