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Montserrat" w:hAnsi="Montserrat"/>
          <w:b/>
          <w:color w:val="0E0E0E"/>
          <w:sz w:val="52"/>
        </w:rPr>
        <w:t>MY4 Education</w:t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52"/>
        </w:rPr>
        <w:t>مقترح شراكة استراتيجية</w:t>
      </w:r>
    </w:p>
    <w:p>
      <w:pPr>
        <w:bidi w:val="1"/>
        <w:jc w:val="right"/>
      </w:pPr>
      <w:r>
        <w:rPr>
          <w:rFonts w:ascii="Arial" w:hAnsi="Arial"/>
          <w:color w:val="C8A24C"/>
          <w:sz w:val="22"/>
        </w:rPr>
        <w:t>وزارة التضامن الاجتماعي — جمهورية مصر العربية</w:t>
      </w:r>
    </w:p>
    <w:p>
      <w:pPr>
        <w:bidi w:val="1"/>
        <w:jc w:val="right"/>
      </w:pPr>
      <w:r>
        <w:rPr>
          <w:rFonts w:ascii="Arial" w:hAnsi="Arial"/>
          <w:color w:val="444444"/>
          <w:sz w:val="20"/>
        </w:rPr>
        <w:t>من قاعة الدارس إلى سوق العمل  ·  ٢٠٢٦</w:t>
      </w:r>
    </w:p>
    <w:p>
      <w:r>
        <w:br w:type="page"/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44"/>
        </w:rPr>
        <w:t>الأزمة واضحة — الحل موجود — الطلب محدد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تطلب MY4 Education — شركة مصرية مسجلة (س.م.م رقم 157843) — شراكةً رسمية مع وزارة التضامن الاجتماعي لتشغيل برنامجها المُثبَت في تأهيل الشباب للتوظيف.</w:t>
        <w:br/>
        <w:br/>
        <w:t>المطلوب: اتفاقية شراكة + إتاحة 3 مراكز تدريبية + إدراج ضمن برنامج ستارت 2026. التكلفة على الوزارة: 3.6 مليون جنيه للمرحلة التجريبية (300 متدرب / 10 أشهر). العائد المتوقع: 255 متدرباً موظفاً خلال 90 يوماً من إتمام البرنامج.</w:t>
      </w:r>
    </w:p>
    <w:p/>
    <w:p>
      <w:pPr>
        <w:bidi w:val="1"/>
        <w:jc w:val="right"/>
      </w:pPr>
      <w:r>
        <w:rPr>
          <w:rFonts w:ascii="Arial" w:hAnsi="Arial"/>
          <w:color w:val="C8A24C"/>
          <w:sz w:val="24"/>
        </w:rPr>
        <w:t>13.2%  —  معدل بطالة الشباب — مصر 2025  (CAPMAS: نشرة سوق العمل Q1 2025)</w:t>
      </w:r>
    </w:p>
    <w:p>
      <w:pPr>
        <w:bidi w:val="1"/>
        <w:jc w:val="right"/>
      </w:pPr>
      <w:r>
        <w:rPr>
          <w:rFonts w:ascii="Arial" w:hAnsi="Arial"/>
          <w:color w:val="C8A24C"/>
          <w:sz w:val="24"/>
        </w:rPr>
        <w:t>16.9%  —  بطالة الفئة 20–24 سنة  (CAPMAS: نشرة سوق العمل Q1 2025)</w:t>
      </w:r>
    </w:p>
    <w:p>
      <w:pPr>
        <w:bidi w:val="1"/>
        <w:jc w:val="right"/>
      </w:pPr>
      <w:r>
        <w:rPr>
          <w:rFonts w:ascii="Arial" w:hAnsi="Arial"/>
          <w:color w:val="C8A24C"/>
          <w:sz w:val="24"/>
        </w:rPr>
        <w:t>33.8%  —  بطالة الشابات — الأعلى منذ 2015  (CAPMAS: نشرة سوق العمل Q1 2025)</w:t>
      </w:r>
    </w:p>
    <w:p>
      <w:r>
        <w:br w:type="page"/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52"/>
        </w:rPr>
        <w:t>01  ·  الإشكالية</w:t>
      </w:r>
    </w:p>
    <w:p>
      <w:pPr>
        <w:bidi w:val="1"/>
        <w:jc w:val="right"/>
      </w:pPr>
      <w:r>
        <w:rPr>
          <w:rFonts w:ascii="Arial" w:hAnsi="Arial"/>
          <w:color w:val="665522"/>
          <w:sz w:val="24"/>
        </w:rPr>
        <w:t>الشهادة وحدها لا تصنع فرصة عمل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44"/>
        </w:rPr>
        <w:t>الأرقام تحدد الأزمة بدقة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1.2M  شاب مصري عاطل عن العمل رغم المؤهلات  — CAPMAS 2025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16.8%  بطالة خريجي الجامعات تحديداً  — CAPMAS 2025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72%  من أصحاب العمل: الخريجون غير مؤهلين عملياً  — CAPMAS 2025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31  وحدة جامعية تضامن اجتماعي تخدم 250,000 طالب  — وزارة التضامن 2026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70%  من أسباب الفشل المهني: نقص المهارات لا نقص الفرص  — ILO 2024</w:t>
      </w:r>
    </w:p>
    <w:p>
      <w:r>
        <w:br w:type="page"/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52"/>
        </w:rPr>
        <w:t>02  ·  الحل والمنهج</w:t>
      </w:r>
    </w:p>
    <w:p>
      <w:pPr>
        <w:bidi w:val="1"/>
        <w:jc w:val="right"/>
      </w:pPr>
      <w:r>
        <w:rPr>
          <w:rFonts w:ascii="Arial" w:hAnsi="Arial"/>
          <w:color w:val="665522"/>
          <w:sz w:val="24"/>
        </w:rPr>
        <w:t>نموذج مُثبَت ومنهج معتمد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44"/>
        </w:rPr>
        <w:t>كيف يعمل النموذج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01  التشخيص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تحليل احتياجات المنطقة وأصحاب العمل — مسار مخصص لكل دفعة قبل بدء التدريب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02  التدريب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8 أسابيع مكثفة: مهارات رقمية + ناعمة + محاكاة بيئة العمل الفعلية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03  التوظيف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ربط مضمون بأصحاب العمل الشركاء + متابعة موثقة 90 يوماً بعد الالتحاق</w:t>
      </w:r>
    </w:p>
    <w:p/>
    <w:p>
      <w:pPr>
        <w:bidi w:val="1"/>
        <w:jc w:val="right"/>
      </w:pPr>
      <w:r>
        <w:rPr>
          <w:rFonts w:ascii="Arial" w:hAnsi="Arial"/>
          <w:color w:val="333333"/>
          <w:sz w:val="20"/>
        </w:rPr>
        <w:t>الدمج بين التدريب النظري والتطبيق الفعلي يرفع معدل التوظيف 52%+ مقارنةً بالتدريب التقليدي (IFC: Workforce Development Report, 2024, p.47). النموذج مُطبَّق بالفعل مع AASTMT — 200+ متدرب — تقرير التقييم متاح للمراجعة.</w:t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44"/>
        </w:rPr>
        <w:t>المنهج الدراسي — 8 أسابيع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الأسبوع 1–2 — المهارات الرقمية الأساسية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Microsoft 365 · Google Workspace · إدارة المهام (Trello/Notion) · البريد المهني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الأسبوع 3–4 — المهارات الناعمة والتواصل المهني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العروض التقديمية · إدارة الوقت · العمل ضمن فريق · التفاوض والتعامل مع العملاء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الأسبوع 5–6 — المسار التخصصي (3 مسارات موازية)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إدارة الأعمال / التسويق الرقمي / دعم تقنية المعلومات — بحسب احتياج سوق العمل المحلي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الأسبوع 7–8 — التوظيف والتقييم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إعداد السيرة الذاتية · محاكاة مقابلات العمل · ربط مباشر بأصحاب العمل الشركاء</w:t>
      </w:r>
    </w:p>
    <w:p/>
    <w:p>
      <w:pPr>
        <w:bidi w:val="1"/>
        <w:jc w:val="right"/>
      </w:pPr>
      <w:r>
        <w:rPr>
          <w:rFonts w:ascii="Arial" w:hAnsi="Arial"/>
          <w:color w:val="A4232A"/>
          <w:sz w:val="22"/>
        </w:rPr>
        <w:t>المسار النسائي المخصص: تدريب عن بُعد جزئياً + مدربات معتمدات + جداول مرنة تراعي الالتزامات الأسرية — يستهدف تحديداً الشابات (بطالة 33.8%)</w:t>
      </w:r>
    </w:p>
    <w:p>
      <w:pPr>
        <w:bidi w:val="1"/>
        <w:jc w:val="right"/>
      </w:pPr>
      <w:r>
        <w:rPr>
          <w:rFonts w:ascii="Arial" w:hAnsi="Arial"/>
          <w:color w:val="444444"/>
          <w:sz w:val="20"/>
        </w:rPr>
        <w:t>اجتيازُ اختبار تقييم مهني معتمد (ECDL-مصر) عند نهاية البرنامج</w:t>
      </w:r>
    </w:p>
    <w:p>
      <w:r>
        <w:br w:type="page"/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52"/>
        </w:rPr>
        <w:t>03  ·  إثبات النموذج</w:t>
      </w:r>
    </w:p>
    <w:p>
      <w:pPr>
        <w:bidi w:val="1"/>
        <w:jc w:val="right"/>
      </w:pPr>
      <w:r>
        <w:rPr>
          <w:rFonts w:ascii="Arial" w:hAnsi="Arial"/>
          <w:color w:val="665522"/>
          <w:sz w:val="24"/>
        </w:rPr>
        <w:t>الأكاديمية العربية — نتائج موثقة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44"/>
        </w:rPr>
        <w:t>الأكاديمية العربية — نتائج التجربة الريادية (2024–2025)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شراكة رسمية مع الأكاديمية العربية للعلوم والتكنولوجيا والنقل البحري (AASTMT). تقرير التقييم المستقل متاح للمراجعة بطلب رسمي. المقاييس أدناه مستخرجة من تقرير AASTMT لمركز تطوير الكفاءات، مارس 2025.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85% من المتدربين وجدوا وظيفة خلال 90 يوماً من إتمام البرنامج (170 من أصل 200)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200+ متدرب في 3 دفعات متتالية — Q2 2024 حتى Q1 2025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4.8 / 5.0 متوسط تقييم رضا المتدربين (استبيان مستقل، n=196)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16 صاحب عمل من القطاعين الخاص والحكومي وقّعوا خطابات توظيف</w:t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44"/>
        </w:rPr>
        <w:t>أصحاب العمل الشركاء — الدفعات الثلاث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تقنية المعلومات والاتصالات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Vodafone Egypt · Raya Holding · ITWorx · Valeo Egypt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الأعمال والإدارة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Maersk Egypt · DHL Egypt · Americana Group · EGIC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التسويق والإعلام الرقمي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JWT Egypt · Procter &amp; Gamble EGY · Unilever Egypt · Publicis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القطاع الحكومي والمنظمات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ITIDA · MCIT · Injaz Egypt · Nahdet El Mahrousa</w:t>
      </w:r>
    </w:p>
    <w:p>
      <w:pPr>
        <w:bidi w:val="1"/>
        <w:jc w:val="right"/>
      </w:pPr>
      <w:r>
        <w:rPr>
          <w:rFonts w:ascii="Arial" w:hAnsi="Arial"/>
          <w:color w:val="665522"/>
          <w:sz w:val="20"/>
        </w:rPr>
        <w:t>خطابات النوايا متاحة للمراجعة · يمكن تزويد الوزارة بنسخ رسمية فور طلبها</w:t>
      </w:r>
    </w:p>
    <w:p>
      <w:r>
        <w:br w:type="page"/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52"/>
        </w:rPr>
        <w:t>04  ·  الخطة والميزانية</w:t>
      </w:r>
    </w:p>
    <w:p>
      <w:pPr>
        <w:bidi w:val="1"/>
        <w:jc w:val="right"/>
      </w:pPr>
      <w:r>
        <w:rPr>
          <w:rFonts w:ascii="Arial" w:hAnsi="Arial"/>
          <w:color w:val="665522"/>
          <w:sz w:val="24"/>
        </w:rPr>
        <w:t>مسار توسع متدرج بأرقام دقيقة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44"/>
        </w:rPr>
        <w:t>مسار التوسع المتدرج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المرحلة التجريبية  (يناير–أكتوبر ٢٠٢٦ — 300 متدرب)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القاهرة · الإسكندرية · الجيزة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تعيين 12 مدرباً معتمداً (4 لكل مركز)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تقرير تقييم مستقل عند نهاية المرحلة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مرحلة التوسع  (يناير–ديسمبر ٢٠٢٧ — 1,500 متدرب)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10 مراكز في 6 محافظات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تفعيل المسار النسائي المخصص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ربط رسمي ببرنامج ستارت 2026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الانطلاق الوطني  (٢٠٢٨–٢٠٢٩ — 5,000+ متدرب / سنة)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27 محافظة — 31 وحدة جامعية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شبكة 100+ صاحب عمل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تمويل ذاتي عبر رسوم التوظيف من الشركات</w:t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44"/>
        </w:rPr>
        <w:t>الميزانية التفصيلية — المرحلة الأولى</w:t>
      </w:r>
    </w:p>
    <w:p>
      <w:pPr>
        <w:bidi w:val="1"/>
        <w:jc w:val="right"/>
      </w:pPr>
      <w:r>
        <w:rPr>
          <w:rFonts w:ascii="Arial" w:hAnsi="Arial"/>
          <w:color w:val="C8A24C"/>
          <w:sz w:val="22"/>
        </w:rPr>
        <w:t>300 متدرب · 3 مراكز · 10 أشهر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تطوير المناهج وإعداد المواد التدريبية:  450,000 جنيه  (12.5%)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رواتب المدربين (12 مدرباً × 10 أشهر):  1,200,000 جنيه  (33.3%)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إيجار وتجهيز المراكز (3 مراكز × 10 أشهر):  900,000 جنيه  (25.0%)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التقييم المستقل وإعداد التقارير:  250,000 جنيه  (6.9%)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مستلزمات ودعم المتدربين (300 × 500 جنيه):  150,000 جنيه  (4.2%)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إدارة المشروع والمصاريف التشغيلية (18%):  650,000 جنيه  (18.1%)</w:t>
      </w:r>
    </w:p>
    <w:p>
      <w:pPr>
        <w:bidi w:val="1"/>
        <w:jc w:val="right"/>
      </w:pPr>
      <w:r>
        <w:rPr>
          <w:rFonts w:ascii="Arial" w:hAnsi="Arial"/>
          <w:color w:val="C8A24C"/>
          <w:sz w:val="26"/>
        </w:rPr>
        <w:t>الإجمالي:  3,600,000 جنيه  |  12,000 جنيه / متدرب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255 متدرباً موظفاً × راتب متوسط 4,500 جنيه/شهر = 1.14M جنيه دخل شهري مُضاف للاقتصاد</w:t>
      </w:r>
    </w:p>
    <w:p>
      <w:pPr>
        <w:bidi w:val="1"/>
        <w:jc w:val="right"/>
      </w:pPr>
      <w:r>
        <w:rPr>
          <w:rFonts w:ascii="Arial" w:hAnsi="Arial"/>
          <w:color w:val="A4232A"/>
          <w:sz w:val="22"/>
        </w:rPr>
        <w:t>بند الاسترداد: إذا نسبة التوظيف &lt; 70% — يُعاد 30% من التمويل الحكومي خلال 60 يوماً</w:t>
      </w:r>
    </w:p>
    <w:p>
      <w:r>
        <w:br w:type="page"/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52"/>
        </w:rPr>
        <w:t>05  ·  المؤشرات والمتابعة</w:t>
      </w:r>
    </w:p>
    <w:p>
      <w:pPr>
        <w:bidi w:val="1"/>
        <w:jc w:val="right"/>
      </w:pPr>
      <w:r>
        <w:rPr>
          <w:rFonts w:ascii="Arial" w:hAnsi="Arial"/>
          <w:color w:val="665522"/>
          <w:sz w:val="24"/>
        </w:rPr>
        <w:t>التزامات قابلة للقياس + بند استرداد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44"/>
        </w:rPr>
        <w:t>التزاماتنا القابلة للقياس</w:t>
      </w:r>
    </w:p>
    <w:p>
      <w:pPr>
        <w:bidi w:val="1"/>
        <w:jc w:val="right"/>
      </w:pPr>
      <w:r>
        <w:rPr>
          <w:rFonts w:ascii="Arial" w:hAnsi="Arial"/>
          <w:color w:val="C8A24C"/>
          <w:sz w:val="24"/>
        </w:rPr>
        <w:t>85%+  —  نسبة التوظيف الفعال:  خلال 90 يوماً من إتمام التدريب</w:t>
      </w:r>
    </w:p>
    <w:p>
      <w:pPr>
        <w:bidi w:val="1"/>
        <w:jc w:val="right"/>
      </w:pPr>
      <w:r>
        <w:rPr>
          <w:rFonts w:ascii="Arial" w:hAnsi="Arial"/>
          <w:color w:val="C8A24C"/>
          <w:sz w:val="24"/>
        </w:rPr>
        <w:t>4.8/5  —  رضا المتدربين:  تقييم مستقل بعد إتمام البرنامج</w:t>
      </w:r>
    </w:p>
    <w:p>
      <w:pPr>
        <w:bidi w:val="1"/>
        <w:jc w:val="right"/>
      </w:pPr>
      <w:r>
        <w:rPr>
          <w:rFonts w:ascii="Arial" w:hAnsi="Arial"/>
          <w:color w:val="C8A24C"/>
          <w:sz w:val="24"/>
        </w:rPr>
        <w:t>96%+  —  رضا أصحاب العمل:  قياس بعد 6 أشهر من التوظيف</w:t>
      </w:r>
    </w:p>
    <w:p>
      <w:pPr>
        <w:bidi w:val="1"/>
        <w:jc w:val="right"/>
      </w:pPr>
      <w:r>
        <w:rPr>
          <w:rFonts w:ascii="Arial" w:hAnsi="Arial"/>
          <w:color w:val="C8A24C"/>
          <w:sz w:val="24"/>
        </w:rPr>
        <w:t>+52%  —  تحسن معدل التوظيف:  فوق المتوسط مقارنةً بالتدريب التقليدي</w:t>
      </w:r>
    </w:p>
    <w:p/>
    <w:p>
      <w:pPr>
        <w:bidi w:val="1"/>
        <w:jc w:val="right"/>
      </w:pPr>
      <w:r>
        <w:rPr>
          <w:rFonts w:ascii="Montserrat" w:hAnsi="Montserrat"/>
          <w:b/>
          <w:color w:val="0E0E0E"/>
          <w:sz w:val="36"/>
        </w:rPr>
        <w:t>التزامات إضافية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لوحة بيانات حية للوزارة تُحدَّث شهرياً (Google Looker Studio)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تقارير ربع سنوية مستقلة من جهة تقييم خارجية معتمدة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بند استرداد رسمي: إذا نسبة التوظيف &lt; 70% → يُعاد 30% من التمويل خلال 60 يوماً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شراكة بحثية مع الجامعات لنشر نتائج النموذج دولياً</w:t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44"/>
        </w:rPr>
        <w:t>إطار المتابعة والتقييم — M&amp;E Framework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مخرجات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عدد المتدربين الملتحقين  |  الهدف: 300 / المرحلة 1  |  سجلات التسجيل — شهرياً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معدل إتمام البرنامج  |  الهدف: ≥ 90%  |  نظام الحضور — كل دفعة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اجتياز تقييم ECDL  |  الهدف: ≥ 80% من المتدربين  |  شهادات رسمية — كل دفعة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أثر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توظيف خلال 90 يوماً  |  الهدف: ≥ 85%  |  متابعة فردية + خطاب توظيف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رضا أصحاب العمل  |  الهدف: ≥ 96%  |  استبيان 6 أشهر بعد التوظيف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الاحتفاظ بالوظيفة 6 أشهر  |  الهدف: ≥ 75%  |  اتصال متابعة دوري</w:t>
      </w:r>
    </w:p>
    <w:p>
      <w:pPr>
        <w:bidi w:val="1"/>
        <w:jc w:val="right"/>
      </w:pPr>
      <w:r>
        <w:rPr>
          <w:rFonts w:ascii="Arial" w:hAnsi="Arial"/>
          <w:color w:val="444444"/>
          <w:sz w:val="20"/>
        </w:rPr>
        <w:t>التقارير: شهرية للوزارة · ربع سنوية مستقلة · سنوية للنشر العلمي. المراجعة المستقلة: مركز تقييم معتمد من الوزارة يُحدَّد بالاتفاق.</w:t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44"/>
        </w:rPr>
        <w:t>تحليل المخاطر وخطة التخفيف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[عالية]  ضعف الإقبال في بعض المحافظات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شراكة مع الوحدات الجامعية للتسويق + حوافز مادية للمتدرب (بدل نقل 200 جنيه/جلسة)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[متوسطة]  تأخر إتاحة المراكز التدريبية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خطة بديلة: عقود إيجار مؤسسات خاصة جاهزة كـ backup — تم تحديدها مسبقاً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[متوسطة]  تذبذب التزام أصحاب العمل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بروتوكولات توظيف موقّعة مسبقاً + قائمة انتظار 30+ شركة بديلة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[منخفضة]  تغيير السياسات الحكومية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هيكل قانوني مرن (س.م.م) + بنود مراجعة سنوية في الاتفاقية</w:t>
      </w:r>
    </w:p>
    <w:p>
      <w:pPr>
        <w:bidi w:val="1"/>
        <w:jc w:val="right"/>
      </w:pPr>
      <w:r>
        <w:rPr>
          <w:rFonts w:ascii="Montserrat" w:hAnsi="Montserrat"/>
          <w:b/>
          <w:color w:val="886622"/>
          <w:sz w:val="36"/>
        </w:rPr>
        <w:t>[منخفضة]  نقص المدربين المؤهلين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قاعدة بيانات 45 مدرباً معتمداً — تم بناؤها خلال AASTMT Phase</w:t>
      </w:r>
    </w:p>
    <w:p>
      <w:r>
        <w:br w:type="page"/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52"/>
        </w:rPr>
        <w:t>06  ·  MY4 Education</w:t>
      </w:r>
    </w:p>
    <w:p>
      <w:pPr>
        <w:bidi w:val="1"/>
        <w:jc w:val="right"/>
      </w:pPr>
      <w:r>
        <w:rPr>
          <w:rFonts w:ascii="Arial" w:hAnsi="Arial"/>
          <w:color w:val="665522"/>
          <w:sz w:val="24"/>
        </w:rPr>
        <w:t>الكيان القانوني · الفريق · التميز التنافسي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44"/>
        </w:rPr>
        <w:t>من نحن — الكيان والفريق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شركة MY4 Education للتدريب والتطوير المهني (س.م.م رقم 157843) — مسجلة في مصر، متخصصة في تأهيل الشباب لسوق العمل منذ 2022.</w:t>
      </w:r>
    </w:p>
    <w:p>
      <w:pPr>
        <w:bidi w:val="1"/>
        <w:jc w:val="right"/>
      </w:pPr>
      <w:r>
        <w:rPr>
          <w:rFonts w:ascii="Arial" w:hAnsi="Arial"/>
          <w:color w:val="C8A24C"/>
          <w:sz w:val="22"/>
        </w:rPr>
        <w:t>محمود جاداللا — مؤسس ومدير تنفيذي. خبرة 8+ سنوات في تصميم برامج التعليم والتدريب المهني. خريج ومدرب معتمد — شارك في تصميم برامج IFC/World Bank و UNICEF Egypt.</w:t>
      </w:r>
    </w:p>
    <w:p/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محمود جاداللا  —  المدير التنفيذي:  تصميم البرامج + الشراكات الاستراتيجية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د. أميرة حسن  —  مدير التدريب:  مناهج + جودة التدريب — PhD تربية جامعة القاهرة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أحمد الشافعي  —  مدير التوظيف وشركاء الأعمال:  إدارة شبكة أصحاب العمل — خبرة 10 سنوات HR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سارة مصطفى  —  مدير المتابعة والتقييم:  M&amp;E — شهادة دولية PMD Pro</w:t>
      </w:r>
    </w:p>
    <w:p/>
    <w:p>
      <w:pPr>
        <w:bidi w:val="1"/>
        <w:jc w:val="right"/>
      </w:pPr>
      <w:r>
        <w:rPr>
          <w:rFonts w:ascii="Montserrat" w:hAnsi="Montserrat"/>
          <w:b/>
          <w:color w:val="0E0E0E"/>
          <w:sz w:val="36"/>
        </w:rPr>
        <w:t>الاعتمادات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شريك معتمد — الأكاديمية العربية للعلوم والتكنولوجيا والنقل البحري (AASTMT)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عضو — منظومة Injaz Egypt / Junior Achievement Worldwide</w:t>
      </w:r>
    </w:p>
    <w:p>
      <w:pPr>
        <w:pStyle w:val="ListBullet"/>
        <w:bidi w:val="1"/>
        <w:jc w:val="right"/>
      </w:pPr>
      <w:r>
        <w:rPr>
          <w:rFonts w:ascii="Arial" w:hAnsi="Arial"/>
          <w:color w:val="0E0E0E"/>
          <w:sz w:val="22"/>
        </w:rPr>
        <w:t>معتمد — مركز امتحانات ECDL مصر</w:t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44"/>
        </w:rPr>
        <w:t>MY4 مقارنةً بالبدائل المتاحة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المعيار  |  MY4 Education  |  ILO/GIZ/UNDP  |  ITIDA/MCIT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المدة  |  8 أسابيع  |  6–12 أشهر  |  3–4 أشهر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نسبة التوظيف  |  85%+  موثق  |  50–60% تقديري  |  65–70%  بالتقنية فقط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التكلفة / متدرب  |  12,000 جنيه  |  25,000–40,000 جنيه  |  18,000–22,000 جنيه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المسار النسائي  |  مخصص ومرن  |  محدود  |  غير متاح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بند الاسترداد  |  نعم — 30%  |  لا  |  لا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أثر محلي مُثبَت  |  200+ خريج موثق  |  دراسات فقط  |  نعم — تقنية فقط</w:t>
      </w:r>
    </w:p>
    <w:p/>
    <w:p>
      <w:pPr>
        <w:bidi w:val="1"/>
        <w:jc w:val="right"/>
      </w:pPr>
      <w:r>
        <w:rPr>
          <w:rFonts w:ascii="Arial" w:hAnsi="Arial"/>
          <w:color w:val="C8A24C"/>
          <w:sz w:val="22"/>
        </w:rPr>
        <w:t>MY4 Education تقدم الأثر الأعلى بالتكلفة الأدنى مع ضمان مالي مربوط بالنتائج — لا يوجد مزود آخر في السوق المصرية يجمع هذه العناصر الثلاثة.</w:t>
      </w:r>
    </w:p>
    <w:p>
      <w:r>
        <w:br w:type="page"/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52"/>
        </w:rPr>
        <w:t>07  ·  الطلب</w:t>
      </w:r>
    </w:p>
    <w:p>
      <w:pPr>
        <w:bidi w:val="1"/>
        <w:jc w:val="right"/>
      </w:pPr>
      <w:r>
        <w:rPr>
          <w:rFonts w:ascii="Arial" w:hAnsi="Arial"/>
          <w:color w:val="665522"/>
          <w:sz w:val="24"/>
        </w:rPr>
        <w:t>ثلاثة بنود محددة تُحقق الشراكة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44"/>
        </w:rPr>
        <w:t>ماذا نطلب بالتحديد؟</w:t>
      </w:r>
    </w:p>
    <w:p>
      <w:pPr>
        <w:bidi w:val="1"/>
        <w:jc w:val="right"/>
      </w:pPr>
      <w:r>
        <w:rPr>
          <w:rFonts w:ascii="Arial" w:hAnsi="Arial"/>
          <w:color w:val="444444"/>
          <w:sz w:val="22"/>
        </w:rPr>
        <w:t>▸  برنامج ستارت ٢٠٢٦:  شراكة أورنج مصر — MY4 كشريك تنفيذي رسمي للتدريب المهني</w:t>
      </w:r>
    </w:p>
    <w:p>
      <w:pPr>
        <w:bidi w:val="1"/>
        <w:jc w:val="right"/>
      </w:pPr>
      <w:r>
        <w:rPr>
          <w:rFonts w:ascii="Arial" w:hAnsi="Arial"/>
          <w:color w:val="444444"/>
          <w:sz w:val="22"/>
        </w:rPr>
        <w:t>▸  ملتقى خطوة ٢٠٢٦:  إدراج MY4 كمزود تدريب معتمد في الملتقى السنوي</w:t>
      </w:r>
    </w:p>
    <w:p>
      <w:pPr>
        <w:bidi w:val="1"/>
        <w:jc w:val="right"/>
      </w:pPr>
      <w:r>
        <w:rPr>
          <w:rFonts w:ascii="Arial" w:hAnsi="Arial"/>
          <w:color w:val="444444"/>
          <w:sz w:val="22"/>
        </w:rPr>
        <w:t>▸  31 وحدة جامعية تضامن:  إتاحة 3 وحدات (القاهرة/الإسكندرية/الجيزة) لتشغيل المرحلة الأولى</w:t>
      </w:r>
    </w:p>
    <w:p>
      <w:pPr>
        <w:bidi w:val="1"/>
        <w:jc w:val="right"/>
      </w:pPr>
      <w:r>
        <w:rPr>
          <w:rFonts w:ascii="Arial" w:hAnsi="Arial"/>
          <w:color w:val="444444"/>
          <w:sz w:val="22"/>
        </w:rPr>
        <w:t>▸  رؤية مصر 2030:  الشراكة تُسهم مباشرةً في مؤشر رفع مشاركة الشباب في سوق العمل</w:t>
      </w:r>
    </w:p>
    <w:p/>
    <w:p>
      <w:pPr>
        <w:bidi w:val="1"/>
        <w:jc w:val="right"/>
      </w:pPr>
      <w:r>
        <w:rPr>
          <w:rFonts w:ascii="Montserrat" w:hAnsi="Montserrat"/>
          <w:b/>
          <w:color w:val="A4232A"/>
          <w:sz w:val="36"/>
        </w:rPr>
        <w:t>المطلوب من الوزارة</w:t>
      </w:r>
    </w:p>
    <w:p>
      <w:pPr>
        <w:bidi w:val="1"/>
        <w:jc w:val="right"/>
      </w:pPr>
      <w:r>
        <w:rPr>
          <w:rFonts w:ascii="Montserrat" w:hAnsi="Montserrat"/>
          <w:b/>
          <w:color w:val="A4232A"/>
          <w:sz w:val="36"/>
        </w:rPr>
        <w:t>أولاً — اتفاقية شراكة رسمية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بروتوكول تعاون رسمي بين الوزارة وشركة MY4 Education (س.م.م 157843) يُحدد: الصلاحيات · آلية التقييم المستقل · حدود المسؤولية القانونية.</w:t>
      </w:r>
    </w:p>
    <w:p>
      <w:pPr>
        <w:bidi w:val="1"/>
        <w:jc w:val="right"/>
      </w:pPr>
      <w:r>
        <w:rPr>
          <w:rFonts w:ascii="Montserrat" w:hAnsi="Montserrat"/>
          <w:b/>
          <w:color w:val="A4232A"/>
          <w:sz w:val="36"/>
        </w:rPr>
        <w:t>ثانياً — إتاحة 3 مراكز تدريبية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مساحة تدريبية في الوحدات الجامعية بالقاهرة والإسكندرية والجيزة. المطلوب: 2 قاعة × 25 مقعداً في كل مركز · لمدة 10 أشهر.</w:t>
      </w:r>
    </w:p>
    <w:p>
      <w:pPr>
        <w:bidi w:val="1"/>
        <w:jc w:val="right"/>
      </w:pPr>
      <w:r>
        <w:rPr>
          <w:rFonts w:ascii="Montserrat" w:hAnsi="Montserrat"/>
          <w:b/>
          <w:color w:val="A4232A"/>
          <w:sz w:val="36"/>
        </w:rPr>
        <w:t>ثالثاً — الإدراج في برنامج ستارت 2026</w:t>
      </w:r>
    </w:p>
    <w:p>
      <w:pPr>
        <w:bidi w:val="1"/>
        <w:jc w:val="right"/>
      </w:pPr>
      <w:r>
        <w:rPr>
          <w:rFonts w:ascii="Arial" w:hAnsi="Arial"/>
          <w:color w:val="FFFFFF"/>
          <w:sz w:val="22"/>
        </w:rPr>
        <w:t>تحويل 300 مستفيد من قاعدة بيانات برنامج ستارت للتدريب لدى MY4 مقابل تقديم تقرير التوظيف الرسمي للوزارة خلال 90 يوماً.</w:t>
      </w:r>
    </w:p>
    <w:p>
      <w:r>
        <w:br w:type="page"/>
      </w:r>
    </w:p>
    <w:p>
      <w:pPr>
        <w:bidi w:val="1"/>
        <w:jc w:val="right"/>
      </w:pPr>
      <w:r>
        <w:rPr>
          <w:rFonts w:ascii="Montserrat" w:hAnsi="Montserrat"/>
          <w:b/>
          <w:color w:val="0E0E0E"/>
          <w:sz w:val="52"/>
        </w:rPr>
        <w:t>MY4 Education</w:t>
      </w:r>
    </w:p>
    <w:p>
      <w:pPr>
        <w:bidi w:val="1"/>
        <w:jc w:val="right"/>
      </w:pPr>
      <w:r>
        <w:rPr>
          <w:rFonts w:ascii="Arial" w:hAnsi="Arial"/>
          <w:color w:val="C8A24C"/>
          <w:sz w:val="28"/>
        </w:rPr>
        <w:t>تأهيل حقيقي · توظيف حقيقي · أثر وطني</w:t>
      </w:r>
    </w:p>
    <w:p/>
    <w:p>
      <w:pPr>
        <w:bidi w:val="1"/>
        <w:jc w:val="right"/>
      </w:pPr>
      <w:r>
        <w:rPr>
          <w:rFonts w:ascii="Arial" w:hAnsi="Arial"/>
          <w:color w:val="0E0E0E"/>
          <w:sz w:val="22"/>
        </w:rPr>
        <w:t>المؤسس:  محمود جاداللا — Mahmoud Gadalla</w:t>
      </w:r>
    </w:p>
    <w:p>
      <w:pPr>
        <w:bidi w:val="1"/>
        <w:jc w:val="right"/>
      </w:pPr>
      <w:r>
        <w:rPr>
          <w:rFonts w:ascii="Arial" w:hAnsi="Arial"/>
          <w:color w:val="0E0E0E"/>
          <w:sz w:val="22"/>
        </w:rPr>
        <w:t>البريد الإلكتروني:  mahmoud@my4.education</w:t>
      </w:r>
    </w:p>
    <w:p>
      <w:pPr>
        <w:bidi w:val="1"/>
        <w:jc w:val="right"/>
      </w:pPr>
      <w:r>
        <w:rPr>
          <w:rFonts w:ascii="Arial" w:hAnsi="Arial"/>
          <w:color w:val="0E0E0E"/>
          <w:sz w:val="22"/>
        </w:rPr>
        <w:t>الهاتف:  +20 111 037 111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