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CA5" w:rsidRDefault="008F1CA5">
      <w:pPr>
        <w:rPr>
          <w:rFonts w:ascii="Times" w:hAnsi="Times" w:cs="Times"/>
          <w:color w:val="141414"/>
          <w:sz w:val="30"/>
          <w:szCs w:val="30"/>
          <w:lang w:eastAsia="ja-JP"/>
        </w:rPr>
      </w:pPr>
      <w:r>
        <w:rPr>
          <w:rFonts w:ascii="Times" w:hAnsi="Times" w:cs="Times"/>
          <w:color w:val="141414"/>
          <w:sz w:val="34"/>
          <w:szCs w:val="34"/>
          <w:lang w:eastAsia="ja-JP"/>
        </w:rPr>
        <w:t xml:space="preserve">From </w:t>
      </w:r>
      <w:r>
        <w:rPr>
          <w:rFonts w:ascii="Times" w:hAnsi="Times" w:cs="Times"/>
          <w:color w:val="141414"/>
          <w:sz w:val="30"/>
          <w:szCs w:val="30"/>
          <w:lang w:eastAsia="ja-JP"/>
        </w:rPr>
        <w:t xml:space="preserve">Homiak, Marcia, "Moral Character", </w:t>
      </w:r>
      <w:r>
        <w:rPr>
          <w:rFonts w:ascii="Times" w:hAnsi="Times" w:cs="Times"/>
          <w:i/>
          <w:iCs/>
          <w:color w:val="141414"/>
          <w:sz w:val="30"/>
          <w:szCs w:val="30"/>
          <w:lang w:eastAsia="ja-JP"/>
        </w:rPr>
        <w:t xml:space="preserve">The Stanford Encyclopedia of Philosophy </w:t>
      </w:r>
      <w:r>
        <w:rPr>
          <w:rFonts w:ascii="Times" w:hAnsi="Times" w:cs="Times"/>
          <w:color w:val="141414"/>
          <w:sz w:val="30"/>
          <w:szCs w:val="30"/>
          <w:lang w:eastAsia="ja-JP"/>
        </w:rPr>
        <w:t xml:space="preserve">(Spring 2011 Edition), Edward N. Zalta (ed.), URL = </w:t>
      </w:r>
      <w:hyperlink r:id="rId5" w:history="1">
        <w:r w:rsidRPr="00EF7961">
          <w:rPr>
            <w:rStyle w:val="Hyperlink"/>
            <w:rFonts w:ascii="Times" w:hAnsi="Times" w:cs="Times"/>
            <w:sz w:val="30"/>
            <w:szCs w:val="30"/>
            <w:lang w:eastAsia="ja-JP"/>
          </w:rPr>
          <w:t>http://plato.stanford.edu/archives/spr2011/entries/moral-character/</w:t>
        </w:r>
      </w:hyperlink>
    </w:p>
    <w:p w:rsidR="008F1CA5" w:rsidRDefault="008F1CA5">
      <w:pPr>
        <w:rPr>
          <w:rFonts w:ascii="Times" w:hAnsi="Times" w:cs="Times"/>
          <w:color w:val="141414"/>
          <w:sz w:val="34"/>
          <w:szCs w:val="34"/>
          <w:lang w:eastAsia="ja-JP"/>
        </w:rPr>
      </w:pPr>
      <w:bookmarkStart w:id="0" w:name="_GoBack"/>
      <w:bookmarkEnd w:id="0"/>
    </w:p>
    <w:p w:rsidR="00AD438B" w:rsidRDefault="008F1CA5">
      <w:pPr>
        <w:rPr>
          <w:rFonts w:ascii="Times" w:hAnsi="Times" w:cs="Times"/>
          <w:color w:val="141414"/>
          <w:sz w:val="34"/>
          <w:szCs w:val="34"/>
          <w:lang w:eastAsia="ja-JP"/>
        </w:rPr>
      </w:pPr>
      <w:r>
        <w:rPr>
          <w:rFonts w:ascii="Times" w:hAnsi="Times" w:cs="Times"/>
          <w:color w:val="141414"/>
          <w:sz w:val="34"/>
          <w:szCs w:val="34"/>
          <w:lang w:eastAsia="ja-JP"/>
        </w:rPr>
        <w:t xml:space="preserve">Hume’s account of how we </w:t>
      </w:r>
      <w:r>
        <w:rPr>
          <w:rFonts w:ascii="Times" w:hAnsi="Times" w:cs="Times"/>
          <w:color w:val="141414"/>
          <w:sz w:val="34"/>
          <w:szCs w:val="34"/>
          <w:lang w:eastAsia="ja-JP"/>
        </w:rPr>
        <w:t>determine what is right and wrong illuminates the role character plays. When Hume's “judicious spectator” determines what is right and wrong, she fixes on some “steady and general” point of view and “loosens” herself from her actual feelings and interests. It appears that someone who has developed an enjoyment in the activities of deliberating and reflecting, and whose self-esteem is based on that enjoyment, will be more likely to take up the point of view of the judicious spectator and to perform the subtle corrections in response that may be necessary to loosen oneself from one's own perspective an</w:t>
      </w:r>
      <w:r>
        <w:rPr>
          <w:rFonts w:ascii="Times" w:hAnsi="Times" w:cs="Times"/>
          <w:color w:val="141414"/>
          <w:sz w:val="34"/>
          <w:szCs w:val="34"/>
          <w:lang w:eastAsia="ja-JP"/>
        </w:rPr>
        <w:t>d specific passions.</w:t>
      </w:r>
    </w:p>
    <w:p w:rsidR="008F1CA5" w:rsidRDefault="008F1CA5">
      <w:pPr>
        <w:rPr>
          <w:rFonts w:ascii="Times" w:hAnsi="Times" w:cs="Times"/>
          <w:color w:val="141414"/>
          <w:sz w:val="34"/>
          <w:szCs w:val="34"/>
          <w:lang w:eastAsia="ja-JP"/>
        </w:rPr>
      </w:pPr>
    </w:p>
    <w:p w:rsidR="008F1CA5" w:rsidRDefault="008F1CA5" w:rsidP="008F1CA5">
      <w:pPr>
        <w:widowControl w:val="0"/>
        <w:autoSpaceDE w:val="0"/>
        <w:autoSpaceDN w:val="0"/>
        <w:adjustRightInd w:val="0"/>
        <w:spacing w:after="200"/>
        <w:rPr>
          <w:rFonts w:ascii="Times" w:hAnsi="Times" w:cs="Times"/>
          <w:color w:val="141414"/>
          <w:sz w:val="34"/>
          <w:szCs w:val="34"/>
          <w:lang w:eastAsia="ja-JP"/>
        </w:rPr>
      </w:pPr>
      <w:r>
        <w:rPr>
          <w:rFonts w:ascii="Times" w:hAnsi="Times" w:cs="Times"/>
          <w:color w:val="141414"/>
          <w:sz w:val="34"/>
          <w:szCs w:val="34"/>
          <w:lang w:eastAsia="ja-JP"/>
        </w:rPr>
        <w:t>As this entry has indicated, Kant's views do provide a role for virtue, for it matters to Kant that we perform our imperfect duties with the right spirit. The virtuous person has the properly cultivated tendencies to feel that make it easier for her to perform her imperfect duties. These feelings support her recognition of what is right and are a sign that she is disposed to perform her duties. Because Kant views the emotions as recalcitrant and in continual need of reason's control, virtue amounts to a kind of self-mastery or continence. One might put this point by saying that, for Kant, virtuous character is subordinate to the claims of practical reason.</w:t>
      </w:r>
    </w:p>
    <w:p w:rsidR="008F1CA5" w:rsidRDefault="008F1CA5" w:rsidP="008F1CA5">
      <w:pPr>
        <w:widowControl w:val="0"/>
        <w:autoSpaceDE w:val="0"/>
        <w:autoSpaceDN w:val="0"/>
        <w:adjustRightInd w:val="0"/>
        <w:spacing w:after="200"/>
        <w:rPr>
          <w:rFonts w:ascii="Times" w:hAnsi="Times" w:cs="Times"/>
          <w:color w:val="141414"/>
          <w:sz w:val="34"/>
          <w:szCs w:val="34"/>
          <w:lang w:eastAsia="ja-JP"/>
        </w:rPr>
      </w:pPr>
      <w:r>
        <w:rPr>
          <w:rFonts w:ascii="Times" w:hAnsi="Times" w:cs="Times"/>
          <w:color w:val="141414"/>
          <w:sz w:val="34"/>
          <w:szCs w:val="34"/>
          <w:lang w:eastAsia="ja-JP"/>
        </w:rPr>
        <w:t xml:space="preserve">Aristotle's view, on the other hand, is usually considered a paradigm example of a “virtue ethics”, an ethical theory that gives priority to virtuous character. To see what this might mean, recall that Aristotle's virtuous person is a genuine self-lover who enjoys most the exercise of her abilities to think and know. This enjoyment guides her practical determinations of what actions are appropriate in what circumstances and renders her unattracted to the pleasures </w:t>
      </w:r>
      <w:r>
        <w:rPr>
          <w:rFonts w:ascii="Times" w:hAnsi="Times" w:cs="Times"/>
          <w:color w:val="141414"/>
          <w:sz w:val="34"/>
          <w:szCs w:val="34"/>
          <w:lang w:eastAsia="ja-JP"/>
        </w:rPr>
        <w:lastRenderedPageBreak/>
        <w:t>associated with the common vices. Her properly cultivated emotional tendencies are not viewed as recalcitrant aspects of her being that need to be controlled by reason. Rather, her practical decisions are informed and guided by the enjoyment she takes in her rational powers. One might put this point by saying that, in Aristotle's view, practical deliberation is subordinate to character.</w:t>
      </w:r>
    </w:p>
    <w:p w:rsidR="008F1CA5" w:rsidRDefault="008F1CA5" w:rsidP="008F1CA5">
      <w:r>
        <w:rPr>
          <w:rFonts w:ascii="Times" w:hAnsi="Times" w:cs="Times"/>
          <w:color w:val="141414"/>
          <w:sz w:val="34"/>
          <w:szCs w:val="34"/>
          <w:lang w:eastAsia="ja-JP"/>
        </w:rPr>
        <w:t>One might then ask of other ethical views whether they take practical deliberation to be subordinate to character or vice versa. As this entry has indicated, Hume appears to side with Aristotle and to give character priority over practical deliberation. For he suggests that someone with the natural virtues based on self-esteem will have the wider imaginative powers needed for correct deliberation from the standpoint of the judicious spectator. Whether character is subordinate to reason for Mill may depend on what sort of utilitarianism Mill can be shown to espouse. If he is a motive-utilitarian who thinks that one should act as the person with the motives or virtues most productive of happiness would act, then a case could be made for his giving character priority over practical reason. If, on the other hand, he is an act- or rule-utilitarian, he would seem to give character a role that is subordinate to reason. These brief remarks indicate that the question of whether an ethical theorist gives priority to character can only be determined by a thorough analysis of the various critical elements of that philosopher's view.</w:t>
      </w:r>
    </w:p>
    <w:sectPr w:rsidR="008F1CA5" w:rsidSect="00AD438B">
      <w:pgSz w:w="12240" w:h="15840"/>
      <w:pgMar w:top="1440" w:right="1440" w:bottom="9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CA5"/>
    <w:rsid w:val="002D20A3"/>
    <w:rsid w:val="004B4F7B"/>
    <w:rsid w:val="008F1CA5"/>
    <w:rsid w:val="00E81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949C7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1CA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1C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lato.stanford.edu/archives/spr2011/entries/moral-charact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537</Words>
  <Characters>3065</Characters>
  <Application>Microsoft Macintosh Word</Application>
  <DocSecurity>0</DocSecurity>
  <Lines>25</Lines>
  <Paragraphs>7</Paragraphs>
  <ScaleCrop>false</ScaleCrop>
  <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Hankinson</dc:creator>
  <cp:keywords/>
  <dc:description/>
  <cp:lastModifiedBy>Stephanie Hankinson</cp:lastModifiedBy>
  <cp:revision>1</cp:revision>
  <dcterms:created xsi:type="dcterms:W3CDTF">2015-03-04T01:12:00Z</dcterms:created>
  <dcterms:modified xsi:type="dcterms:W3CDTF">2015-03-04T01:33:00Z</dcterms:modified>
</cp:coreProperties>
</file>