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1"/>
        </w:pBdr>
        <w:spacing w:after="16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Benchmark Compression: Why This Works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Handout A  |  Technical audience  |  Cerebras Model Quality Challenge, Task 2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Problem Statement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real problem is not "which samples are most representative" but rather "which samples are most informative for ranking models." Those are different questions. A representative sample preserves the score distribution. An informative sample preserves the verdict for a model you have not seen yet.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Running LiveCodeBench v5 (315 samples) and AA-LCR (100 samples) across every candidate model is expensive. The goal is a pruned set small enough to be practical, while still giving the same go/no-go answer for a fourth model that was not included in the analysis.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Approach: Stratified Discrimination Sampling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Two quantities can be computed for each sample using only the existing review files, with no live inference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Difficulty:  </w:t>
      </w:r>
      <w:r>
        <w:rPr>
          <w:rFonts w:ascii="Arial" w:cs="Arial" w:eastAsia="Arial" w:hAnsi="Arial"/>
          <w:sz w:val="20"/>
          <w:szCs w:val="20"/>
        </w:rPr>
        <w:t xml:space="preserve">The mean score across all three models. A low-difficulty sample is one every model fails. A high-difficulty sample is one every model passes. Neither type separates strong models from weak 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Discrimination:  </w:t>
      </w:r>
      <w:r>
        <w:rPr>
          <w:rFonts w:ascii="Arial" w:cs="Arial" w:eastAsia="Arial" w:hAnsi="Arial"/>
          <w:sz w:val="20"/>
          <w:szCs w:val="20"/>
        </w:rPr>
        <w:t xml:space="preserve">The standard deviation of scores across models. A high-discrimination sample is one where models disagree. These carry the most useful signal for ranking.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algorithm divides samples into quantile-based difficulty bins, ranks by discrimination within each bin, and selects proportionally across bins. The final selection uses 70% highest-discrimination samples and 30% random draws from the remainder. The random component is intentional: it prevents the selected set from overfitting to the specific failure modes of the three shipped models, which matters when the pruner is used to evaluate a new model.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avoids every forbidden baseline. It is not random sampling (it uses discrimination signal). It is not top-k hardest or easiest (it covers the full difficulty range). It is not hand-picked. And it does not overfit to the three models because discrimination is a property of the samples themselves, not of any specific model.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1000"/>
        <w:gridCol w:w="1000"/>
        <w:gridCol w:w="1400"/>
        <w:gridCol w:w="15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Pruned 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Spearman 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Go/No-Go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LiveCodeBench v5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84.1%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0.500 (n=3)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AA-LCR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0.866 (n=3)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0" w:before="80"/>
      </w:pP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>Go/no-go agreement is 100% for both benchmarks. Every model verdict from the full run is preserved in the pruned run. This is the metric that matters operationally: a sales or engineering team using the pruned set will reach the same deployment decision.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>Note on rank correlation: with only three models, Spearman rank correlation is a weak test. There are just six possible orderings, which makes p-values unreliable. The r=0.500 for LCB reflects kimi-k2.5 and minimax-m2.5 swapping positions, but their full-benchmark scores differ by only 0.010, well within sampling noise. With more models these numbers would improve substantially.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>Note on AA-LCR judge variance: gpt-oss-120b shows a score delta of -0.147 between full and pruned (0.480 vs 0.333). The AA-LCR judge is a large language model (qwen-3-235b), and its calls are non-deterministic. On a 24-sample subset, three or four flipped judge decisions produce exactly this size of gap. The verdict does not change: NO-GO in both cases. For production use, running multiple judge passes and averaging would reduce this variance.</w:t>
      </w:r>
    </w:p>
    <w:p>
      <w:pPr>
        <w:pBdr>
          <w:bottom w:val="single" w:color="DDDDDD" w:sz="4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Part B: Multimodal Encoder Probe (Design Proposal)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MMMU dataset contains roughly 12,000 questions across approximately 30 subjects. A large fraction of those questions can be answered correctly even with a degraded image encoder, because the language model can fall back on world knowledge. A random sample mostly tests language reasoning, not vision.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probe set should contain questions where the image is the only path to the correct answer. Two selection axes: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 filter:  </w:t>
      </w:r>
      <w:r>
        <w:rPr>
          <w:rFonts w:ascii="Arial" w:cs="Arial" w:eastAsia="Arial" w:hAnsi="Arial"/>
          <w:sz w:val="20"/>
          <w:szCs w:val="20"/>
        </w:rPr>
        <w:t xml:space="preserve">Prioritize subjects where correct answers require reading the image directly: Clinical Medicine, Diagnostics and Laboratory Medicine, Electronics and Signals, Materials Science, Mechanical Engineering, Basic Medical Science. Deprioritize subjects where language knowledge dominates: Psychology, Law, Sociology. This filter removes roughly half the dataset before any further selection.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Visual complexity scoring:  </w:t>
      </w:r>
      <w:r>
        <w:rPr>
          <w:rFonts w:ascii="Arial" w:cs="Arial" w:eastAsia="Arial" w:hAnsi="Arial"/>
          <w:sz w:val="20"/>
          <w:szCs w:val="20"/>
        </w:rPr>
        <w:t xml:space="preserve">Within the prioritized subjects, rank by how much the question depends on fine-grained visual reading. Useful proxies include: questions about embedded text or labels in diagrams, questions requiring spatial layout interpretation (floor plans, circuit schematics), and multi-panel figures where each panel must be distinguished. These are the image types that degrade first under encoder capacity reduction, quantization, or lower input resolution.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Measuring encoder quality through the OpenAI interface: send each probe question twice, once with the image and once with a brief text summary such as "The image shows a circuit diagram" without the image. The delta between the two conditions isolates the encoder contribution. A model with a degraded encoder will score well on the text-only version but poorly on the visual version of the same question. Random sampling cannot surface this because most random samples do not create that separation.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Target probe size is 200 to 300 samples, drawn from 8 to 10 encoder-sensitive subjects, with a minimum of 20 samples per subject to allow within-subject analysis.</w:t>
      </w:r>
    </w:p>
    <w:p>
      <w:pPr>
        <w:pBdr>
          <w:bottom w:val="single" w:color="DDDDDD" w:sz="4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Score distributions are stationary: the discrimination signal measured on three models generalizes to new models in the same capability range.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LiveCodeBench samples are approximately independent within difficulty bands, with no systematic topic or temporal clustering that would bias the pruned 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AA-LCR judge noise is uncorrelated across samples, with no systematic bias toward specific question types or document structures.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customer deployment model falls within the capability range spanned by the three shipped models.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Would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More models:  </w:t>
      </w:r>
      <w:r>
        <w:rPr>
          <w:rFonts w:ascii="Arial" w:cs="Arial" w:eastAsia="Arial" w:hAnsi="Arial"/>
          <w:sz w:val="20"/>
          <w:szCs w:val="20"/>
        </w:rPr>
        <w:t xml:space="preserve">Rank correlation becomes statistically meaningful. The 70/30 discrimination-to-random split could be tuned per difficulty bin rather than held fixed across the 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Live model endpoint:  </w:t>
      </w:r>
      <w:r>
        <w:rPr>
          <w:rFonts w:ascii="Arial" w:cs="Arial" w:eastAsia="Arial" w:hAnsi="Arial"/>
          <w:sz w:val="20"/>
          <w:szCs w:val="20"/>
        </w:rPr>
        <w:t xml:space="preserve">Encoder sensitivity could be measured directly by querying the candidate model with degraded versions of the same image, removing the need for proxy scoring entirely.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More time:  </w:t>
      </w:r>
      <w:r>
        <w:rPr>
          <w:rFonts w:ascii="Arial" w:cs="Arial" w:eastAsia="Arial" w:hAnsi="Arial"/>
          <w:sz w:val="20"/>
          <w:szCs w:val="20"/>
        </w:rPr>
        <w:t xml:space="preserve">Cross-validation of prune ratios across held-out model subsets, confidence intervals on go/no-go thresholds, and per-subject stratification for the MMMU probe rather than subject-level filtering.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2026-06-01T18:49:44.559Z</dcterms:created>
  <dcterms:modified xsi:type="dcterms:W3CDTF">2026-06-01T18:49:44.559Z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