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CENTRAL IT PROCUREMENT CELL - NATIONAL INFORMATICS DIVISION</w:t>
      </w:r>
    </w:p>
    <w:p>
      <w:r>
        <w:t>NOTICE INVITING TENDER: NID/IT-NET/2026/09</w:t>
      </w:r>
    </w:p>
    <w:p>
      <w:r>
        <w:t>TENDER FOR: Procurement of 24-Port Managed Gigabit Ethernet L2/L3 Network Switches</w:t>
      </w:r>
    </w:p>
    <w:p/>
    <w:p>
      <w:r>
        <w:t>SECTION 2: TECHNICAL SPECIFICATIONS FOR MANAGED NETWORK SWITCHES</w:t>
      </w:r>
    </w:p>
    <w:p>
      <w:r>
        <w:t>1. PORT DENSITY &amp; INTERFACES:</w:t>
      </w:r>
    </w:p>
    <w:p>
      <w:r>
        <w:t>1.1 Minimum 24 auto-sensing 10/100/1000 Base-T RJ-45 Gigabit Ethernet ports.</w:t>
      </w:r>
    </w:p>
    <w:p>
      <w:r>
        <w:t>1.2 Minimum 4 dedicated 1G/10G SFP+ optical uplink transceiver slots.</w:t>
      </w:r>
    </w:p>
    <w:p>
      <w:r>
        <w:t>1.3 Dedicated out-of-band Gigabit Ethernet management port and RJ-45/USB Type-C console interface.</w:t>
      </w:r>
    </w:p>
    <w:p>
      <w:r>
        <w:t>2. PERFORMANCE &amp; SWITCHING FABRIC:</w:t>
      </w:r>
    </w:p>
    <w:p>
      <w:r>
        <w:t>2.1 Switching capacity shall be minimum 128 Gbps non-blocking wire-speed fabric.</w:t>
      </w:r>
    </w:p>
    <w:p>
      <w:r>
        <w:t>2.2 Packet forwarding rate shall be not less than 95 Mpps (Million packets per second).</w:t>
      </w:r>
    </w:p>
    <w:p>
      <w:r>
        <w:t>2.3 Packet buffer memory shall be minimum 4 MB dynamically shared across all ports.</w:t>
      </w:r>
    </w:p>
    <w:p>
      <w:r>
        <w:t>2.4 MAC address table capacity: Minimum 16,000 MAC address entries.</w:t>
      </w:r>
    </w:p>
    <w:p>
      <w:r>
        <w:t>3. LAYER-2 &amp; LAYER-3 FEATURES:</w:t>
      </w:r>
    </w:p>
    <w:p>
      <w:r>
        <w:t>3.1 IEEE 802.1Q VLAN tagging with support for minimum 4094 active VLAN IDs.</w:t>
      </w:r>
    </w:p>
    <w:p>
      <w:r>
        <w:t>3.2 Support for Port-based VLAN, MAC-based VLAN, Protocol-based VLAN, and Voice VLAN.</w:t>
      </w:r>
    </w:p>
    <w:p>
      <w:r>
        <w:t>3.3 Spanning Tree Protocols: Conformance to IEEE 802.1D STP, IEEE 802.1w Rapid Spanning Tree (RSTP), and IEEE 802.1s Multiple Spanning Tree (MSTP).</w:t>
      </w:r>
    </w:p>
    <w:p>
      <w:r>
        <w:t>3.4 Quality of Service (QoS): IEEE 802.1p CoS with minimum 8 hardware priority queues per port, Weighted Round Robin (WRR) and Strict Priority (SP) scheduling.</w:t>
      </w:r>
    </w:p>
    <w:p>
      <w:r>
        <w:t>3.5 Link Aggregation: IEEE 802.3ad LACP supporting up to 8 link aggregation groups.</w:t>
      </w:r>
    </w:p>
    <w:p>
      <w:r>
        <w:t>4. SECURITY &amp; ACCESS CONTROL:</w:t>
      </w:r>
    </w:p>
    <w:p>
      <w:r>
        <w:t>4.1 IEEE 802.1X Port-Based Network Access Control with RADIUS and TACACS+ centralized authentication.</w:t>
      </w:r>
    </w:p>
    <w:p>
      <w:r>
        <w:t>4.2 Port Security, DHCP Snooping, Dynamic ARP Inspection (DAI), and IP Source Guard.</w:t>
      </w:r>
    </w:p>
    <w:p>
      <w:r>
        <w:t>4.3 Hardware Access Control Lists (ACLs) supporting IPv4 and IPv6 packet filtering based on Layer 2/3/4 headers.</w:t>
      </w:r>
    </w:p>
    <w:p>
      <w:r>
        <w:t>5. NETWORK MANAGEMENT &amp; MONITORING:</w:t>
      </w:r>
    </w:p>
    <w:p>
      <w:r>
        <w:t>5.1 Secure Web GUI (HTTPS), Command Line Interface (CLI) over SSHv2, and Telnet.</w:t>
      </w:r>
    </w:p>
    <w:p>
      <w:r>
        <w:t>5.2 SNMPv1, SNMPv2c, and SNMPv3 support with RMON groups 1, 2, 3, and 9.</w:t>
      </w:r>
    </w:p>
    <w:p>
      <w:r>
        <w:t>5.3 Full dual-stack IPv4 and IPv6 management and routing capabilities.</w:t>
      </w:r>
    </w:p>
    <w:p>
      <w:r>
        <w:t>6. POWER SUPPLY &amp; MECHANICAL:</w:t>
      </w:r>
    </w:p>
    <w:p>
      <w:r>
        <w:t>6.1 Dual redundant hot-swappable internal power supplies operating on 100-240V AC, 50/60 Hz.</w:t>
      </w:r>
    </w:p>
    <w:p>
      <w:r>
        <w:t>6.2 Standard 19-inch 1U rack-mountable sheet steel chassis including complete mounting brackets.</w:t>
      </w:r>
    </w:p>
    <w:p>
      <w:r>
        <w:t>6.3 Enclosure protection rating shall be minimum IP20.</w:t>
      </w:r>
    </w:p>
    <w:p>
      <w:r>
        <w:t>6.4 Operating temperature: 0°C to 50°C, Operating humidity: 10% to 90% non-condensing.</w:t>
      </w:r>
    </w:p>
    <w:p>
      <w:r>
        <w:t>7. COMPLIANCE &amp; STANDARDS:</w:t>
      </w:r>
    </w:p>
    <w:p>
      <w:r>
        <w:t>7.1 Mandatory BIS Compulsory Registration Scheme (CRS) certificate under MeitY Electronics and IT Goods Order per IS 13252 (Part 1) or IS/IEC 62368-1.</w:t>
      </w:r>
    </w:p>
    <w:p>
      <w:r>
        <w:t>7.2 Electromagnetic Compatibility (EMC): Conformance to IS/IEC 61000-4-2 (Electrostatic Discharge), IS/IEC 61000-4-3 (Radiated RF), and IS/IEC 61000-4-5 (Surge Immunity).</w:t>
      </w:r>
    </w:p>
    <w:p>
      <w:r>
        <w:t>7.3 3 Years Comprehensive 24x7 OEM on-site warranty with advance hardware replacement SLA.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